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w:t>
      </w:r>
      <w:r>
        <w:rPr>
          <w:rFonts w:hint="eastAsia" w:ascii="方正小标宋_GBK" w:hAnsi="华文中宋" w:eastAsia="方正小标宋_GBK" w:cs="宋体"/>
          <w:b/>
          <w:kern w:val="0"/>
          <w:sz w:val="48"/>
          <w:szCs w:val="48"/>
          <w:lang w:val="en-US" w:eastAsia="zh-CN"/>
        </w:rPr>
        <w:t>阔克苏乡</w:t>
      </w:r>
      <w:r>
        <w:rPr>
          <w:rFonts w:hint="eastAsia" w:ascii="方正小标宋_GBK" w:hAnsi="华文中宋" w:eastAsia="方正小标宋_GBK" w:cs="宋体"/>
          <w:b/>
          <w:kern w:val="0"/>
          <w:sz w:val="48"/>
          <w:szCs w:val="48"/>
          <w:lang w:eastAsia="zh-CN"/>
        </w:rPr>
        <w:t>卫生院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特克斯县阔克苏乡卫生院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jc w:val="left"/>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1.为人民健康医疗与预防保健服务，常见病多发病的治疗和护理；</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2.预防保健；卫生人员技术培训；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lang w:eastAsia="zh-CN"/>
        </w:rPr>
        <w:t>职能表现形式有疾病控制防疫、妇幼儿童保健、门诊住院医疗、急诊抢救、防病治病等救死扶伤等。</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（1）组织机构设置：</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特克斯县阔克苏乡卫生院无下属预算单位，下设 6个科室，分别是：内科、外科、妇产科、药房、公共卫生科、检验科。</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（2）2021年特克斯县阔克苏乡卫生院实有在职人员为15人，其中：</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Style w:val="16"/>
          <w:rFonts w:hint="eastAsia" w:ascii="仿宋_GB2312" w:hAnsi="楷体" w:eastAsia="仿宋_GB2312" w:cs="Times New Roman"/>
          <w:b w:val="0"/>
          <w:spacing w:val="-4"/>
          <w:sz w:val="28"/>
          <w:szCs w:val="28"/>
          <w:lang w:val="en-US" w:eastAsia="zh-CN"/>
        </w:rPr>
        <w:t>，与上年一致；</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事业在职15人（上年14人），同比上年增加1人；</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Style w:val="16"/>
          <w:rFonts w:hint="eastAsia" w:ascii="仿宋_GB2312" w:hAnsi="楷体" w:eastAsia="仿宋_GB2312" w:cs="Times New Roman"/>
          <w:b w:val="0"/>
          <w:spacing w:val="-4"/>
          <w:sz w:val="28"/>
          <w:szCs w:val="28"/>
          <w:lang w:val="en-US" w:eastAsia="zh-CN"/>
        </w:rPr>
        <w:t>与上年一致;</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实有退休人员2人（上年2人）,与上年一致</w:t>
      </w:r>
      <w:r>
        <w:rPr>
          <w:rStyle w:val="16"/>
          <w:rFonts w:hint="eastAsia" w:ascii="仿宋_GB2312" w:hAnsi="楷体" w:eastAsia="仿宋_GB2312"/>
          <w:b w:val="0"/>
          <w:spacing w:val="-4"/>
          <w:sz w:val="28"/>
          <w:szCs w:val="28"/>
          <w:lang w:val="en-US" w:eastAsia="zh-CN"/>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spacing w:val="-4"/>
          <w:sz w:val="28"/>
          <w:szCs w:val="28"/>
          <w:lang w:val="en-US" w:eastAsia="zh-CN"/>
        </w:rPr>
      </w:pPr>
      <w:bookmarkStart w:id="6" w:name="_Toc70450294"/>
      <w:r>
        <w:rPr>
          <w:rStyle w:val="16"/>
          <w:rFonts w:hint="eastAsia" w:ascii="仿宋_GB2312" w:hAnsi="楷体" w:eastAsia="仿宋_GB2312"/>
          <w:b w:val="0"/>
          <w:spacing w:val="-4"/>
          <w:sz w:val="28"/>
          <w:szCs w:val="28"/>
          <w:lang w:val="en-US" w:eastAsia="zh-CN"/>
        </w:rPr>
        <w:t>1.加强档案管理、数据汇总；</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562" w:firstLineChars="200"/>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color w:val="auto"/>
          <w:spacing w:val="-4"/>
          <w:sz w:val="28"/>
          <w:szCs w:val="28"/>
        </w:rPr>
      </w:pPr>
      <w:bookmarkStart w:id="9" w:name="_Toc70450296"/>
      <w:r>
        <w:rPr>
          <w:rStyle w:val="16"/>
          <w:rFonts w:hint="eastAsia" w:ascii="仿宋_GB2312" w:hAnsi="楷体" w:eastAsia="仿宋_GB2312"/>
          <w:b w:val="0"/>
          <w:color w:val="auto"/>
          <w:spacing w:val="-4"/>
          <w:sz w:val="28"/>
          <w:szCs w:val="28"/>
        </w:rPr>
        <w:t>2021年批复我部门预算为</w:t>
      </w:r>
      <w:r>
        <w:rPr>
          <w:rStyle w:val="16"/>
          <w:rFonts w:hint="eastAsia" w:ascii="仿宋_GB2312" w:hAnsi="楷体" w:eastAsia="仿宋_GB2312"/>
          <w:b w:val="0"/>
          <w:color w:val="auto"/>
          <w:spacing w:val="-4"/>
          <w:sz w:val="28"/>
          <w:szCs w:val="28"/>
          <w:lang w:val="en-US" w:eastAsia="zh-CN"/>
        </w:rPr>
        <w:t>212.50</w:t>
      </w:r>
      <w:r>
        <w:rPr>
          <w:rStyle w:val="16"/>
          <w:rFonts w:hint="eastAsia" w:ascii="仿宋_GB2312" w:hAnsi="楷体" w:eastAsia="仿宋_GB2312"/>
          <w:b w:val="0"/>
          <w:color w:val="auto"/>
          <w:spacing w:val="-4"/>
          <w:sz w:val="28"/>
          <w:szCs w:val="28"/>
        </w:rPr>
        <w:t>万元，其中：财政拨款为</w:t>
      </w:r>
      <w:r>
        <w:rPr>
          <w:rStyle w:val="16"/>
          <w:rFonts w:hint="eastAsia" w:ascii="仿宋_GB2312" w:hAnsi="楷体" w:eastAsia="仿宋_GB2312"/>
          <w:b w:val="0"/>
          <w:color w:val="auto"/>
          <w:spacing w:val="-4"/>
          <w:sz w:val="28"/>
          <w:szCs w:val="28"/>
          <w:lang w:val="en-US" w:eastAsia="zh-CN"/>
        </w:rPr>
        <w:t>212.50</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年中追加</w:t>
      </w:r>
      <w:r>
        <w:rPr>
          <w:rStyle w:val="16"/>
          <w:rFonts w:hint="eastAsia" w:ascii="仿宋_GB2312" w:hAnsi="楷体" w:eastAsia="仿宋_GB2312"/>
          <w:b w:val="0"/>
          <w:color w:val="auto"/>
          <w:spacing w:val="-4"/>
          <w:sz w:val="28"/>
          <w:szCs w:val="28"/>
          <w:lang w:val="en-US" w:eastAsia="zh-CN"/>
        </w:rPr>
        <w:t>74.22</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53.67</w:t>
      </w:r>
      <w:r>
        <w:rPr>
          <w:rStyle w:val="16"/>
          <w:rFonts w:hint="eastAsia" w:ascii="仿宋_GB2312" w:hAnsi="楷体" w:eastAsia="仿宋_GB2312"/>
          <w:b w:val="0"/>
          <w:spacing w:val="-4"/>
          <w:sz w:val="28"/>
          <w:szCs w:val="28"/>
        </w:rPr>
        <w:t>%</w:t>
      </w:r>
      <w:r>
        <w:rPr>
          <w:rStyle w:val="16"/>
          <w:rFonts w:hint="eastAsia" w:ascii="仿宋_GB2312" w:hAnsi="楷体" w:eastAsia="仿宋_GB2312"/>
          <w:b w:val="0"/>
          <w:color w:val="auto"/>
          <w:spacing w:val="-4"/>
          <w:sz w:val="28"/>
          <w:szCs w:val="28"/>
        </w:rPr>
        <w:t>。对比上年</w:t>
      </w:r>
      <w:r>
        <w:rPr>
          <w:rStyle w:val="16"/>
          <w:rFonts w:hint="eastAsia" w:ascii="仿宋_GB2312" w:hAnsi="楷体" w:eastAsia="仿宋_GB2312"/>
          <w:b w:val="0"/>
          <w:color w:val="auto"/>
          <w:spacing w:val="-4"/>
          <w:sz w:val="28"/>
          <w:szCs w:val="28"/>
          <w:lang w:val="en-US" w:eastAsia="zh-CN"/>
        </w:rPr>
        <w:t>177.5</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val="en-US" w:eastAsia="zh-CN"/>
        </w:rPr>
        <w:t>增加35</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val="en-US" w:eastAsia="zh-CN"/>
        </w:rPr>
        <w:t>上升19.72</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2021年实际决算支出</w:t>
      </w:r>
      <w:r>
        <w:rPr>
          <w:rStyle w:val="16"/>
          <w:rFonts w:hint="eastAsia" w:ascii="仿宋_GB2312" w:hAnsi="楷体" w:eastAsia="仿宋_GB2312"/>
          <w:b w:val="0"/>
          <w:color w:val="auto"/>
          <w:spacing w:val="-4"/>
          <w:sz w:val="28"/>
          <w:szCs w:val="28"/>
          <w:lang w:val="en-US" w:eastAsia="zh-CN"/>
        </w:rPr>
        <w:t>212.50</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w:t>
      </w:r>
    </w:p>
    <w:p>
      <w:pPr>
        <w:numPr>
          <w:ilvl w:val="0"/>
          <w:numId w:val="1"/>
        </w:numPr>
        <w:spacing w:line="360" w:lineRule="auto"/>
        <w:ind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171.30</w:t>
      </w:r>
      <w:r>
        <w:rPr>
          <w:rStyle w:val="16"/>
          <w:rFonts w:hint="eastAsia" w:ascii="仿宋_GB2312" w:hAnsi="楷体" w:eastAsia="仿宋_GB2312"/>
          <w:b w:val="0"/>
          <w:color w:val="auto"/>
          <w:spacing w:val="-4"/>
          <w:sz w:val="28"/>
          <w:szCs w:val="28"/>
        </w:rPr>
        <w:t>万</w:t>
      </w:r>
      <w:r>
        <w:rPr>
          <w:rStyle w:val="16"/>
          <w:rFonts w:hint="eastAsia" w:ascii="仿宋_GB2312" w:hAnsi="楷体" w:eastAsia="仿宋_GB2312"/>
          <w:b w:val="0"/>
          <w:color w:val="auto"/>
          <w:spacing w:val="-4"/>
          <w:sz w:val="28"/>
          <w:szCs w:val="28"/>
          <w:highlight w:val="none"/>
        </w:rPr>
        <w:t>元，占总支出的</w:t>
      </w:r>
      <w:r>
        <w:rPr>
          <w:rStyle w:val="16"/>
          <w:rFonts w:hint="eastAsia" w:ascii="仿宋_GB2312" w:hAnsi="楷体" w:eastAsia="仿宋_GB2312"/>
          <w:b w:val="0"/>
          <w:color w:val="auto"/>
          <w:spacing w:val="-4"/>
          <w:sz w:val="28"/>
          <w:szCs w:val="28"/>
          <w:highlight w:val="none"/>
          <w:lang w:val="en-US" w:eastAsia="zh-CN"/>
        </w:rPr>
        <w:t>80.61</w:t>
      </w:r>
      <w:r>
        <w:rPr>
          <w:rStyle w:val="16"/>
          <w:rFonts w:hint="eastAsia" w:ascii="仿宋_GB2312" w:hAnsi="楷体" w:eastAsia="仿宋_GB2312"/>
          <w:b w:val="0"/>
          <w:color w:val="auto"/>
          <w:spacing w:val="-4"/>
          <w:sz w:val="28"/>
          <w:szCs w:val="28"/>
          <w:highlight w:val="none"/>
        </w:rPr>
        <w:t>％，主</w:t>
      </w:r>
      <w:r>
        <w:rPr>
          <w:rStyle w:val="16"/>
          <w:rFonts w:hint="eastAsia" w:ascii="仿宋_GB2312" w:hAnsi="楷体" w:eastAsia="仿宋_GB2312"/>
          <w:b w:val="0"/>
          <w:color w:val="auto"/>
          <w:spacing w:val="-4"/>
          <w:sz w:val="28"/>
          <w:szCs w:val="28"/>
        </w:rPr>
        <w:t>要用于本部门机构正常运转、完成日常工作任务而发生的各项支出。其中：工资福利支出</w:t>
      </w:r>
      <w:r>
        <w:rPr>
          <w:rStyle w:val="16"/>
          <w:rFonts w:hint="eastAsia" w:ascii="仿宋_GB2312" w:hAnsi="楷体" w:eastAsia="仿宋_GB2312"/>
          <w:b w:val="0"/>
          <w:color w:val="auto"/>
          <w:spacing w:val="-4"/>
          <w:sz w:val="28"/>
          <w:szCs w:val="28"/>
          <w:lang w:val="en-US" w:eastAsia="zh-CN"/>
        </w:rPr>
        <w:t>166.21</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lang w:val="en-US" w:eastAsia="zh-CN"/>
        </w:rPr>
        <w:t>2.88</w:t>
      </w:r>
      <w:r>
        <w:rPr>
          <w:rStyle w:val="16"/>
          <w:rFonts w:hint="eastAsia" w:ascii="仿宋_GB2312" w:hAnsi="楷体" w:eastAsia="仿宋_GB2312"/>
          <w:b w:val="0"/>
          <w:color w:val="auto"/>
          <w:spacing w:val="-4"/>
          <w:sz w:val="28"/>
          <w:szCs w:val="28"/>
        </w:rPr>
        <w:t>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2.21</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val="en-US" w:eastAsia="zh-CN"/>
        </w:rPr>
        <w:t>退休人员经费</w:t>
      </w:r>
      <w:r>
        <w:rPr>
          <w:rStyle w:val="16"/>
          <w:rFonts w:hint="eastAsia" w:ascii="仿宋_GB2312" w:hAnsi="楷体" w:eastAsia="仿宋_GB2312"/>
          <w:b w:val="0"/>
          <w:color w:val="auto"/>
          <w:spacing w:val="-4"/>
          <w:sz w:val="28"/>
          <w:szCs w:val="28"/>
        </w:rPr>
        <w:t>。资本性支出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lang w:val="en-US" w:eastAsia="zh-CN"/>
        </w:rPr>
        <w:t>无。</w:t>
      </w:r>
    </w:p>
    <w:p>
      <w:pPr>
        <w:numPr>
          <w:ilvl w:val="0"/>
          <w:numId w:val="1"/>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41.20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19.39</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14.97</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基本药物补助5.79万元、全民体检资金5.44万元、中医药补助15万元，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基本公共卫生服务工作、基本药物补助、全民体检工作、</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spacing w:val="-4"/>
          <w:sz w:val="28"/>
          <w:szCs w:val="28"/>
          <w:highlight w:val="none"/>
          <w:lang w:eastAsia="zh-CN"/>
        </w:rPr>
        <w:t>。</w:t>
      </w:r>
    </w:p>
    <w:p>
      <w:pPr>
        <w:numPr>
          <w:ilvl w:val="0"/>
          <w:numId w:val="1"/>
        </w:numPr>
        <w:spacing w:line="360" w:lineRule="auto"/>
        <w:ind w:left="0" w:leftChars="0"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numPr>
          <w:ilvl w:val="0"/>
          <w:numId w:val="0"/>
        </w:numPr>
        <w:spacing w:line="360" w:lineRule="auto"/>
        <w:ind w:leftChars="200"/>
        <w:rPr>
          <w:rStyle w:val="16"/>
          <w:rFonts w:hint="eastAsia" w:ascii="仿宋_GB2312" w:hAnsi="楷体" w:eastAsia="仿宋_GB2312"/>
          <w:b w:val="0"/>
          <w:color w:val="auto"/>
          <w:spacing w:val="-4"/>
          <w:sz w:val="32"/>
          <w:szCs w:val="32"/>
          <w:lang w:eastAsia="zh-CN"/>
        </w:rPr>
      </w:pPr>
      <w:r>
        <w:rPr>
          <w:rStyle w:val="16"/>
          <w:rFonts w:hint="eastAsia" w:ascii="仿宋_GB2312" w:hAnsi="楷体" w:eastAsia="仿宋_GB2312"/>
          <w:b w:val="0"/>
          <w:color w:val="auto"/>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sz w:val="28"/>
          <w:szCs w:val="36"/>
          <w:lang w:eastAsia="zh-CN"/>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highlight w:val="none"/>
        </w:rPr>
      </w:pPr>
      <w:r>
        <w:rPr>
          <w:rStyle w:val="16"/>
          <w:rFonts w:hint="eastAsia" w:ascii="仿宋_GB2312" w:eastAsia="仿宋_GB2312"/>
          <w:b w:val="0"/>
          <w:bCs w:val="0"/>
          <w:sz w:val="28"/>
          <w:szCs w:val="36"/>
        </w:rPr>
        <w:t>涉及对</w:t>
      </w:r>
      <w:r>
        <w:rPr>
          <w:rStyle w:val="16"/>
          <w:rFonts w:hint="eastAsia" w:ascii="仿宋_GB2312" w:eastAsia="仿宋_GB2312"/>
          <w:b w:val="0"/>
          <w:bCs w:val="0"/>
          <w:sz w:val="28"/>
          <w:szCs w:val="36"/>
          <w:highlight w:val="none"/>
        </w:rPr>
        <w:t>象：</w:t>
      </w:r>
      <w:r>
        <w:rPr>
          <w:rFonts w:hint="eastAsia" w:ascii="仿宋_GB2312" w:eastAsia="仿宋_GB2312"/>
          <w:sz w:val="28"/>
          <w:szCs w:val="36"/>
          <w:highlight w:val="none"/>
        </w:rPr>
        <w:t>本次评价对象是</w:t>
      </w:r>
      <w:r>
        <w:rPr>
          <w:rFonts w:hint="eastAsia" w:ascii="仿宋_GB2312" w:eastAsia="仿宋_GB2312"/>
          <w:sz w:val="28"/>
          <w:szCs w:val="36"/>
          <w:highlight w:val="none"/>
          <w:lang w:eastAsia="zh-CN"/>
        </w:rPr>
        <w:t>特克斯县</w:t>
      </w:r>
      <w:r>
        <w:rPr>
          <w:rFonts w:hint="eastAsia" w:ascii="仿宋_GB2312" w:eastAsia="仿宋_GB2312"/>
          <w:sz w:val="28"/>
          <w:szCs w:val="36"/>
          <w:highlight w:val="none"/>
          <w:lang w:val="en-US" w:eastAsia="zh-CN"/>
        </w:rPr>
        <w:t>阔克苏乡</w:t>
      </w:r>
      <w:r>
        <w:rPr>
          <w:rFonts w:hint="eastAsia" w:ascii="仿宋_GB2312" w:eastAsia="仿宋_GB2312"/>
          <w:sz w:val="28"/>
          <w:szCs w:val="36"/>
          <w:highlight w:val="none"/>
          <w:lang w:eastAsia="zh-CN"/>
        </w:rPr>
        <w:t>卫生院</w:t>
      </w:r>
      <w:r>
        <w:rPr>
          <w:rFonts w:hint="eastAsia" w:ascii="仿宋_GB2312" w:eastAsia="仿宋_GB2312"/>
          <w:sz w:val="28"/>
          <w:szCs w:val="36"/>
          <w:highlight w:val="none"/>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 xml:space="preserve">基本支出 </w:t>
      </w:r>
      <w:r>
        <w:rPr>
          <w:rStyle w:val="16"/>
          <w:rFonts w:hint="eastAsia" w:ascii="仿宋_GB2312" w:hAnsi="楷体" w:eastAsia="仿宋_GB2312"/>
          <w:b w:val="0"/>
          <w:spacing w:val="-4"/>
          <w:sz w:val="28"/>
          <w:szCs w:val="28"/>
          <w:lang w:val="en-US" w:eastAsia="zh-CN"/>
        </w:rPr>
        <w:t>171.30</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2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41.20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基本药物补助项目、全民体检资金补助项目、</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spacing w:val="-4"/>
          <w:sz w:val="28"/>
          <w:szCs w:val="28"/>
          <w:highlight w:val="none"/>
          <w:lang w:eastAsia="zh-CN"/>
        </w:rPr>
        <w:t>。</w:t>
      </w:r>
    </w:p>
    <w:p>
      <w:pPr>
        <w:spacing w:line="360" w:lineRule="auto"/>
        <w:ind w:firstLine="492" w:firstLineChars="181"/>
        <w:rPr>
          <w:rStyle w:val="16"/>
          <w:rFonts w:ascii="仿宋_GB2312" w:hAnsi="楷体" w:eastAsia="仿宋_GB2312"/>
          <w:b w:val="0"/>
          <w:spacing w:val="-4"/>
          <w:sz w:val="28"/>
          <w:szCs w:val="28"/>
          <w:highlight w:val="yellow"/>
        </w:rPr>
      </w:pP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hint="eastAsia" w:eastAsia="仿宋_GB2312" w:asciiTheme="minorEastAsia" w:hAnsiTheme="minorEastAsia"/>
          <w:color w:val="FF0000"/>
          <w:spacing w:val="-4"/>
          <w:sz w:val="28"/>
          <w:szCs w:val="28"/>
          <w:lang w:eastAsia="zh-CN"/>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严格按照财政部门预算编制与预算调整的工作要求，在预算编制、分配依据充分的条件下，切实做好“先定目标再编预算”，确保预算分配结果合理。同时按照要求，部门预算及绩效目标在</w:t>
      </w:r>
      <w:r>
        <w:rPr>
          <w:rFonts w:hint="eastAsia" w:ascii="仿宋_GB2312" w:eastAsia="仿宋_GB2312"/>
          <w:sz w:val="28"/>
          <w:szCs w:val="36"/>
          <w:lang w:eastAsia="zh-CN"/>
        </w:rPr>
        <w:t>政府信息</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特克斯县财政局</w:t>
      </w:r>
      <w:r>
        <w:rPr>
          <w:rFonts w:hint="eastAsia" w:ascii="仿宋_GB2312" w:eastAsia="仿宋_GB2312"/>
          <w:sz w:val="28"/>
          <w:szCs w:val="36"/>
        </w:rPr>
        <w:t>相关规定和</w:t>
      </w:r>
      <w:r>
        <w:rPr>
          <w:rFonts w:hint="eastAsia" w:ascii="仿宋_GB2312" w:eastAsia="仿宋_GB2312"/>
          <w:sz w:val="28"/>
          <w:szCs w:val="36"/>
          <w:lang w:eastAsia="zh-CN"/>
        </w:rPr>
        <w:t>特克斯县阔克苏乡卫生院《事业单位财务规则》</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我单位</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171.30</w:t>
      </w:r>
      <w:r>
        <w:rPr>
          <w:rStyle w:val="16"/>
          <w:rFonts w:hint="eastAsia" w:ascii="仿宋_GB2312" w:hAnsi="楷体" w:eastAsia="仿宋_GB2312"/>
          <w:b w:val="0"/>
          <w:spacing w:val="-4"/>
          <w:sz w:val="28"/>
          <w:szCs w:val="28"/>
        </w:rPr>
        <w:t>万元，实际到位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171.30</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171.30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highlight w:val="none"/>
        </w:rPr>
        <w:t>占总支出的</w:t>
      </w:r>
      <w:r>
        <w:rPr>
          <w:rStyle w:val="16"/>
          <w:rFonts w:hint="eastAsia" w:ascii="仿宋_GB2312" w:hAnsi="楷体" w:eastAsia="仿宋_GB2312"/>
          <w:b w:val="0"/>
          <w:spacing w:val="-4"/>
          <w:sz w:val="28"/>
          <w:szCs w:val="28"/>
          <w:highlight w:val="none"/>
          <w:lang w:val="en-US" w:eastAsia="zh-CN"/>
        </w:rPr>
        <w:t>80.61</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166.21</w:t>
      </w:r>
      <w:r>
        <w:rPr>
          <w:rStyle w:val="16"/>
          <w:rFonts w:hint="eastAsia" w:ascii="仿宋_GB2312" w:hAnsi="楷体" w:eastAsia="仿宋_GB2312"/>
          <w:b w:val="0"/>
          <w:spacing w:val="-4"/>
          <w:sz w:val="28"/>
          <w:szCs w:val="28"/>
        </w:rPr>
        <w:t>万元、商品和服务支出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2.88</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2.21</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主要用于</w:t>
      </w:r>
      <w:r>
        <w:rPr>
          <w:rStyle w:val="16"/>
          <w:rFonts w:hint="eastAsia" w:ascii="仿宋_GB2312" w:hAnsi="楷体" w:eastAsia="仿宋_GB2312"/>
          <w:b w:val="0"/>
          <w:color w:val="auto"/>
          <w:spacing w:val="-4"/>
          <w:sz w:val="28"/>
          <w:szCs w:val="28"/>
          <w:highlight w:val="none"/>
          <w:lang w:val="en-US" w:eastAsia="zh-CN"/>
        </w:rPr>
        <w:t>退休人</w:t>
      </w:r>
      <w:r>
        <w:rPr>
          <w:rStyle w:val="16"/>
          <w:rFonts w:hint="eastAsia" w:ascii="仿宋_GB2312" w:hAnsi="楷体" w:eastAsia="仿宋_GB2312"/>
          <w:b w:val="0"/>
          <w:color w:val="auto"/>
          <w:spacing w:val="-4"/>
          <w:sz w:val="28"/>
          <w:szCs w:val="28"/>
          <w:lang w:val="en-US" w:eastAsia="zh-CN"/>
        </w:rPr>
        <w:t>员经费</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172.53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，减少</w:t>
      </w:r>
      <w:r>
        <w:rPr>
          <w:rStyle w:val="16"/>
          <w:rFonts w:hint="eastAsia" w:ascii="仿宋_GB2312" w:hAnsi="楷体" w:eastAsia="仿宋_GB2312"/>
          <w:b w:val="0"/>
          <w:spacing w:val="-4"/>
          <w:sz w:val="28"/>
          <w:szCs w:val="28"/>
          <w:lang w:val="en-US" w:eastAsia="zh-CN"/>
        </w:rPr>
        <w:t>1.23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减少</w:t>
      </w:r>
      <w:r>
        <w:rPr>
          <w:rStyle w:val="16"/>
          <w:rFonts w:hint="eastAsia" w:ascii="仿宋_GB2312" w:hAnsi="楷体" w:eastAsia="仿宋_GB2312"/>
          <w:b w:val="0"/>
          <w:spacing w:val="-4"/>
          <w:sz w:val="28"/>
          <w:szCs w:val="28"/>
          <w:lang w:val="en-US" w:eastAsia="zh-CN"/>
        </w:rPr>
        <w:t>0.71</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，减少的主要原因是</w:t>
      </w:r>
      <w:r>
        <w:rPr>
          <w:rStyle w:val="16"/>
          <w:rFonts w:hint="eastAsia" w:ascii="仿宋_GB2312" w:hAnsi="楷体" w:eastAsia="仿宋_GB2312"/>
          <w:b w:val="0"/>
          <w:spacing w:val="-4"/>
          <w:sz w:val="28"/>
          <w:szCs w:val="28"/>
          <w:lang w:eastAsia="zh-CN"/>
        </w:rPr>
        <w:t>上年度人员经费增加</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万元，公务用车运行费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万元，主要原因是 </w:t>
      </w:r>
      <w:r>
        <w:rPr>
          <w:rStyle w:val="16"/>
          <w:rFonts w:hint="eastAsia" w:ascii="仿宋_GB2312" w:hAnsi="楷体" w:eastAsia="仿宋_GB2312"/>
          <w:b w:val="0"/>
          <w:spacing w:val="-4"/>
          <w:sz w:val="28"/>
          <w:szCs w:val="28"/>
          <w:lang w:eastAsia="zh-CN"/>
        </w:rPr>
        <w:t>本年度为安排预算</w:t>
      </w:r>
      <w:r>
        <w:rPr>
          <w:rStyle w:val="16"/>
          <w:rFonts w:hint="eastAsia" w:ascii="仿宋_GB2312" w:hAnsi="楷体" w:eastAsia="仿宋_GB2312"/>
          <w:b w:val="0"/>
          <w:spacing w:val="-4"/>
          <w:sz w:val="28"/>
          <w:szCs w:val="28"/>
        </w:rPr>
        <w:t xml:space="preserve"> ；公务用车购置费为0，未安排预算；公务用车运行费增加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本年度</w:t>
      </w:r>
      <w:r>
        <w:rPr>
          <w:rStyle w:val="16"/>
          <w:rFonts w:hint="eastAsia" w:ascii="仿宋_GB2312" w:hAnsi="楷体" w:eastAsia="仿宋_GB2312"/>
          <w:b w:val="0"/>
          <w:spacing w:val="-4"/>
          <w:sz w:val="28"/>
          <w:szCs w:val="28"/>
        </w:rPr>
        <w:t>未安排预算；公务接待费增加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 xml:space="preserve">2021年预算安排专项资金 </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 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 xml:space="preserve">％,其中:中央转移支付项目资金 </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 xml:space="preserve"> 万元，自治区资金</w:t>
      </w:r>
      <w:r>
        <w:rPr>
          <w:rStyle w:val="16"/>
          <w:rFonts w:hint="eastAsia" w:ascii="仿宋_GB2312" w:hAnsi="楷体" w:eastAsia="仿宋_GB2312"/>
          <w:b w:val="0"/>
          <w:spacing w:val="-4"/>
          <w:sz w:val="28"/>
          <w:szCs w:val="28"/>
          <w:highlight w:val="none"/>
          <w:lang w:val="en-US" w:eastAsia="zh-CN"/>
        </w:rPr>
        <w:t>39.49</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1.71</w:t>
      </w:r>
      <w:r>
        <w:rPr>
          <w:rStyle w:val="16"/>
          <w:rFonts w:hint="eastAsia" w:ascii="仿宋_GB2312" w:hAnsi="楷体" w:eastAsia="仿宋_GB2312"/>
          <w:b w:val="0"/>
          <w:spacing w:val="-4"/>
          <w:sz w:val="28"/>
          <w:szCs w:val="28"/>
          <w:highlight w:val="none"/>
        </w:rPr>
        <w:t>万元。</w:t>
      </w:r>
    </w:p>
    <w:p>
      <w:pPr>
        <w:pStyle w:val="5"/>
        <w:spacing w:line="360" w:lineRule="auto"/>
        <w:ind w:firstLine="562" w:firstLineChars="200"/>
        <w:rPr>
          <w:rStyle w:val="16"/>
          <w:rFonts w:ascii="仿宋" w:hAnsi="仿宋" w:eastAsia="仿宋"/>
          <w:b/>
          <w:bCs/>
          <w:highlight w:val="none"/>
        </w:rPr>
      </w:pPr>
      <w:bookmarkStart w:id="17" w:name="_Toc70450304"/>
      <w:r>
        <w:rPr>
          <w:rStyle w:val="16"/>
          <w:rFonts w:hint="eastAsia" w:ascii="仿宋" w:hAnsi="仿宋" w:eastAsia="仿宋"/>
          <w:b/>
          <w:bCs/>
          <w:highlight w:val="none"/>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19.39</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4.72</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36.48</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772.88</w:t>
      </w:r>
      <w:r>
        <w:rPr>
          <w:rStyle w:val="16"/>
          <w:rFonts w:hint="eastAsia" w:ascii="仿宋_GB2312" w:hAnsi="楷体" w:eastAsia="仿宋_GB2312"/>
          <w:b w:val="0"/>
          <w:spacing w:val="-4"/>
          <w:sz w:val="28"/>
          <w:szCs w:val="28"/>
          <w:highlight w:val="none"/>
        </w:rPr>
        <w:t>%。支出上升的主要原因是</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上年度项目由主管单位负责</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highlight w:val="none"/>
        </w:rPr>
      </w:pPr>
      <w:bookmarkStart w:id="18" w:name="_Toc70450305"/>
      <w:r>
        <w:rPr>
          <w:rStyle w:val="16"/>
          <w:rFonts w:hint="eastAsia" w:ascii="仿宋" w:hAnsi="仿宋" w:eastAsia="仿宋"/>
          <w:b/>
          <w:bCs/>
          <w:highlight w:val="none"/>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val="en-US" w:eastAsia="zh-CN"/>
        </w:rPr>
        <w:t>特克斯县阔克苏乡卫生院</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（3）制订了项目实施方案，确保项目。</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（4）认真组织项目验收，确保。</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2"/>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val="en-US" w:eastAsia="zh-CN"/>
        </w:rPr>
        <w:t>我</w:t>
      </w:r>
      <w:r>
        <w:rPr>
          <w:rStyle w:val="16"/>
          <w:rFonts w:hint="eastAsia" w:ascii="仿宋_GB2312" w:hAnsi="楷体" w:eastAsia="仿宋_GB2312"/>
          <w:b w:val="0"/>
          <w:bCs w:val="0"/>
          <w:color w:val="auto"/>
          <w:spacing w:val="-4"/>
          <w:sz w:val="28"/>
          <w:szCs w:val="28"/>
        </w:rPr>
        <w:t>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5"/>
        <w:numPr>
          <w:ilvl w:val="0"/>
          <w:numId w:val="2"/>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w:t>
      </w:r>
      <w:r>
        <w:rPr>
          <w:rStyle w:val="16"/>
          <w:rFonts w:ascii="仿宋_GB2312" w:hAnsi="楷体" w:eastAsia="仿宋_GB2312"/>
          <w:b w:val="0"/>
          <w:spacing w:val="-4"/>
          <w:sz w:val="28"/>
          <w:szCs w:val="28"/>
          <w:highlight w:val="none"/>
        </w:rPr>
        <w:t>021</w:t>
      </w:r>
      <w:r>
        <w:rPr>
          <w:rStyle w:val="16"/>
          <w:rFonts w:hint="eastAsia" w:ascii="仿宋_GB2312" w:hAnsi="楷体" w:eastAsia="仿宋_GB2312"/>
          <w:b w:val="0"/>
          <w:spacing w:val="-4"/>
          <w:sz w:val="28"/>
          <w:szCs w:val="28"/>
          <w:highlight w:val="none"/>
        </w:rPr>
        <w:t>年涉及专项资金</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万元，资金到位率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%。截止到</w:t>
      </w: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年1</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月</w:t>
      </w:r>
      <w:r>
        <w:rPr>
          <w:rStyle w:val="16"/>
          <w:rFonts w:hint="eastAsia" w:ascii="仿宋_GB2312" w:hAnsi="楷体" w:eastAsia="仿宋_GB2312"/>
          <w:b w:val="0"/>
          <w:spacing w:val="-4"/>
          <w:sz w:val="28"/>
          <w:szCs w:val="28"/>
          <w:highlight w:val="none"/>
          <w:lang w:val="en-US" w:eastAsia="zh-CN"/>
        </w:rPr>
        <w:t>31</w:t>
      </w:r>
      <w:r>
        <w:rPr>
          <w:rStyle w:val="16"/>
          <w:rFonts w:hint="eastAsia" w:ascii="仿宋_GB2312" w:hAnsi="楷体" w:eastAsia="仿宋_GB2312"/>
          <w:b w:val="0"/>
          <w:spacing w:val="-4"/>
          <w:sz w:val="28"/>
          <w:szCs w:val="28"/>
          <w:highlight w:val="none"/>
        </w:rPr>
        <w:t>日执行</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万元，执行率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%。其中：20</w:t>
      </w:r>
      <w:r>
        <w:rPr>
          <w:rStyle w:val="16"/>
          <w:rFonts w:ascii="仿宋_GB2312" w:hAnsi="楷体" w:eastAsia="仿宋_GB2312"/>
          <w:b w:val="0"/>
          <w:spacing w:val="-4"/>
          <w:sz w:val="28"/>
          <w:szCs w:val="28"/>
          <w:highlight w:val="none"/>
        </w:rPr>
        <w:t>21</w:t>
      </w:r>
      <w:r>
        <w:rPr>
          <w:rStyle w:val="16"/>
          <w:rFonts w:hint="eastAsia" w:ascii="仿宋_GB2312" w:hAnsi="楷体" w:eastAsia="仿宋_GB2312"/>
          <w:b w:val="0"/>
          <w:spacing w:val="-4"/>
          <w:sz w:val="28"/>
          <w:szCs w:val="28"/>
          <w:highlight w:val="none"/>
        </w:rPr>
        <w:t>年结转专项资金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%；202</w:t>
      </w:r>
      <w:r>
        <w:rPr>
          <w:rStyle w:val="16"/>
          <w:rFonts w:ascii="仿宋_GB2312" w:hAnsi="楷体" w:eastAsia="仿宋_GB2312"/>
          <w:b w:val="0"/>
          <w:spacing w:val="-4"/>
          <w:sz w:val="28"/>
          <w:szCs w:val="28"/>
          <w:highlight w:val="none"/>
        </w:rPr>
        <w:t>1</w:t>
      </w:r>
      <w:r>
        <w:rPr>
          <w:rStyle w:val="16"/>
          <w:rFonts w:hint="eastAsia" w:ascii="仿宋_GB2312" w:hAnsi="楷体" w:eastAsia="仿宋_GB2312"/>
          <w:b w:val="0"/>
          <w:spacing w:val="-4"/>
          <w:sz w:val="28"/>
          <w:szCs w:val="28"/>
          <w:highlight w:val="none"/>
        </w:rPr>
        <w:t>年新增专项资金</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特克斯县阔克苏乡卫生院</w:t>
      </w:r>
      <w:r>
        <w:rPr>
          <w:rStyle w:val="16"/>
          <w:rFonts w:hint="eastAsia" w:ascii="仿宋_GB2312" w:hAnsi="楷体" w:eastAsia="仿宋_GB2312"/>
          <w:b w:val="0"/>
          <w:color w:val="auto"/>
          <w:spacing w:val="-4"/>
          <w:sz w:val="28"/>
          <w:szCs w:val="28"/>
        </w:rPr>
        <w:t>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eastAsia="zh-CN"/>
        </w:rPr>
        <w:t>特克斯县阔克苏乡卫生院</w:t>
      </w:r>
      <w:r>
        <w:rPr>
          <w:rStyle w:val="16"/>
          <w:rFonts w:hint="eastAsia" w:ascii="仿宋_GB2312" w:hAnsi="楷体" w:eastAsia="仿宋_GB2312"/>
          <w:b w:val="0"/>
          <w:color w:val="auto"/>
          <w:spacing w:val="-4"/>
          <w:sz w:val="28"/>
          <w:szCs w:val="28"/>
          <w:highlight w:val="none"/>
        </w:rPr>
        <w:t>根据202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w:t>
      </w:r>
      <w:r>
        <w:rPr>
          <w:rStyle w:val="16"/>
          <w:rFonts w:hint="eastAsia" w:ascii="仿宋_GB2312" w:hAnsi="楷体" w:eastAsia="仿宋_GB2312"/>
          <w:b w:val="0"/>
          <w:color w:val="auto"/>
          <w:spacing w:val="-4"/>
          <w:sz w:val="28"/>
          <w:szCs w:val="28"/>
          <w:highlight w:val="none"/>
          <w:lang w:val="en-US" w:eastAsia="zh-CN"/>
        </w:rPr>
        <w:t>4</w:t>
      </w:r>
      <w:r>
        <w:rPr>
          <w:rStyle w:val="16"/>
          <w:rFonts w:hint="eastAsia" w:ascii="仿宋_GB2312" w:hAnsi="楷体" w:eastAsia="仿宋_GB2312"/>
          <w:b w:val="0"/>
          <w:color w:val="auto"/>
          <w:spacing w:val="-4"/>
          <w:sz w:val="28"/>
          <w:szCs w:val="28"/>
          <w:highlight w:val="none"/>
        </w:rPr>
        <w:t>个项目的绩效目标及工作内容，将其细化分工至本单位</w:t>
      </w:r>
      <w:r>
        <w:rPr>
          <w:rStyle w:val="16"/>
          <w:rFonts w:hint="eastAsia" w:ascii="仿宋_GB2312" w:hAnsi="楷体" w:eastAsia="仿宋_GB2312"/>
          <w:b w:val="0"/>
          <w:color w:val="auto"/>
          <w:spacing w:val="-4"/>
          <w:sz w:val="28"/>
          <w:szCs w:val="28"/>
          <w:highlight w:val="none"/>
          <w:lang w:val="en-US" w:eastAsia="zh-CN"/>
        </w:rPr>
        <w:t>6</w:t>
      </w:r>
      <w:r>
        <w:rPr>
          <w:rStyle w:val="16"/>
          <w:rFonts w:hint="eastAsia" w:ascii="仿宋_GB2312" w:hAnsi="楷体" w:eastAsia="仿宋_GB2312"/>
          <w:b w:val="0"/>
          <w:color w:val="auto"/>
          <w:spacing w:val="-4"/>
          <w:sz w:val="28"/>
          <w:szCs w:val="28"/>
          <w:highlight w:val="none"/>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highlight w:val="none"/>
        </w:rPr>
        <w:t>5</w:t>
      </w:r>
      <w:r>
        <w:rPr>
          <w:rStyle w:val="16"/>
          <w:rFonts w:hint="eastAsia" w:ascii="仿宋_GB2312" w:hAnsi="楷体" w:eastAsia="仿宋_GB2312"/>
          <w:b w:val="0"/>
          <w:color w:val="auto"/>
          <w:spacing w:val="-4"/>
          <w:sz w:val="28"/>
          <w:szCs w:val="28"/>
          <w:highlight w:val="none"/>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lang w:eastAsia="zh-CN"/>
        </w:rPr>
        <w:t>特克斯县阔克苏乡卫生院</w:t>
      </w:r>
      <w:r>
        <w:rPr>
          <w:rStyle w:val="16"/>
          <w:rFonts w:hint="eastAsia" w:ascii="仿宋_GB2312" w:hAnsi="楷体" w:eastAsia="仿宋_GB2312"/>
          <w:b w:val="0"/>
          <w:color w:val="auto"/>
          <w:spacing w:val="-4"/>
          <w:sz w:val="28"/>
          <w:szCs w:val="28"/>
          <w:highlight w:val="none"/>
        </w:rPr>
        <w:t>实施的</w:t>
      </w:r>
      <w:r>
        <w:rPr>
          <w:rStyle w:val="16"/>
          <w:rFonts w:hint="eastAsia" w:ascii="仿宋_GB2312" w:hAnsi="楷体" w:eastAsia="仿宋_GB2312"/>
          <w:b w:val="0"/>
          <w:color w:val="auto"/>
          <w:spacing w:val="-4"/>
          <w:sz w:val="28"/>
          <w:szCs w:val="28"/>
          <w:highlight w:val="none"/>
          <w:lang w:val="en-US" w:eastAsia="zh-CN"/>
        </w:rPr>
        <w:t>4</w:t>
      </w:r>
      <w:r>
        <w:rPr>
          <w:rStyle w:val="16"/>
          <w:rFonts w:hint="eastAsia" w:ascii="仿宋_GB2312" w:hAnsi="楷体" w:eastAsia="仿宋_GB2312"/>
          <w:b w:val="0"/>
          <w:color w:val="auto"/>
          <w:spacing w:val="-4"/>
          <w:sz w:val="28"/>
          <w:szCs w:val="28"/>
          <w:highlight w:val="none"/>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3</w:t>
      </w:r>
      <w:r>
        <w:rPr>
          <w:rStyle w:val="16"/>
          <w:rFonts w:ascii="仿宋_GB2312" w:hAnsi="楷体" w:eastAsia="仿宋_GB2312"/>
          <w:b w:val="0"/>
          <w:color w:val="auto"/>
          <w:spacing w:val="-4"/>
          <w:sz w:val="28"/>
          <w:szCs w:val="28"/>
          <w:highlight w:val="none"/>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特克斯县阔克苏乡卫生院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rPr>
        <w:t>1</w:t>
      </w:r>
      <w:r>
        <w:rPr>
          <w:rStyle w:val="16"/>
          <w:rFonts w:ascii="仿宋_GB2312" w:hAnsi="楷体" w:eastAsia="仿宋_GB2312"/>
          <w:b w:val="0"/>
          <w:bCs w:val="0"/>
          <w:spacing w:val="-4"/>
          <w:sz w:val="28"/>
          <w:szCs w:val="28"/>
          <w:highlight w:val="none"/>
        </w:rPr>
        <w:t>、成本控制情况</w:t>
      </w:r>
    </w:p>
    <w:p>
      <w:pPr>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特克斯县阔克苏乡卫生院</w:t>
      </w:r>
      <w:r>
        <w:rPr>
          <w:rStyle w:val="16"/>
          <w:rFonts w:hint="eastAsia" w:ascii="仿宋_GB2312" w:hAnsi="楷体" w:eastAsia="仿宋_GB2312"/>
          <w:b w:val="0"/>
          <w:spacing w:val="-4"/>
          <w:sz w:val="28"/>
          <w:szCs w:val="28"/>
          <w:highlight w:val="none"/>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个专项项目预算总额为</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个项目总成本为</w:t>
      </w:r>
      <w:r>
        <w:rPr>
          <w:rStyle w:val="16"/>
          <w:rFonts w:hint="eastAsia" w:ascii="仿宋_GB2312" w:hAnsi="楷体" w:eastAsia="仿宋_GB2312"/>
          <w:b w:val="0"/>
          <w:spacing w:val="-4"/>
          <w:sz w:val="28"/>
          <w:szCs w:val="28"/>
          <w:highlight w:val="none"/>
          <w:lang w:val="en-US" w:eastAsia="zh-CN"/>
        </w:rPr>
        <w:t>41.2</w:t>
      </w:r>
      <w:r>
        <w:rPr>
          <w:rStyle w:val="16"/>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rPr>
        <w:t>2</w:t>
      </w:r>
      <w:r>
        <w:rPr>
          <w:rStyle w:val="16"/>
          <w:rFonts w:ascii="仿宋_GB2312" w:hAnsi="楷体" w:eastAsia="仿宋_GB2312"/>
          <w:b w:val="0"/>
          <w:bCs w:val="0"/>
          <w:spacing w:val="-4"/>
          <w:sz w:val="28"/>
          <w:szCs w:val="28"/>
          <w:highlight w:val="none"/>
        </w:rPr>
        <w:t>、成本节约情况</w:t>
      </w:r>
    </w:p>
    <w:p>
      <w:pPr>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特克斯县阔克苏乡卫生院</w:t>
      </w:r>
      <w:r>
        <w:rPr>
          <w:rStyle w:val="16"/>
          <w:rFonts w:hint="eastAsia" w:ascii="仿宋_GB2312" w:hAnsi="楷体" w:eastAsia="仿宋_GB2312"/>
          <w:b w:val="0"/>
          <w:spacing w:val="-4"/>
          <w:sz w:val="28"/>
          <w:szCs w:val="28"/>
          <w:highlight w:val="none"/>
        </w:rPr>
        <w:t>所涉及专项项目使用资金比专项项目总预算减少</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w:t>
      </w:r>
      <w:bookmarkStart w:id="22" w:name="_Hlk96097132"/>
      <w:r>
        <w:rPr>
          <w:rStyle w:val="16"/>
          <w:rFonts w:hint="eastAsia" w:ascii="仿宋_GB2312" w:hAnsi="楷体" w:eastAsia="仿宋_GB2312"/>
          <w:b w:val="0"/>
          <w:spacing w:val="-4"/>
          <w:sz w:val="28"/>
          <w:szCs w:val="28"/>
          <w:highlight w:val="none"/>
        </w:rPr>
        <w:t>项目节约率</w:t>
      </w:r>
      <w:bookmarkEnd w:id="22"/>
      <w:r>
        <w:rPr>
          <w:rStyle w:val="16"/>
          <w:rFonts w:hint="eastAsia" w:ascii="仿宋_GB2312" w:hAnsi="楷体" w:eastAsia="仿宋_GB2312"/>
          <w:b w:val="0"/>
          <w:spacing w:val="-4"/>
          <w:sz w:val="28"/>
          <w:szCs w:val="28"/>
          <w:highlight w:val="none"/>
        </w:rPr>
        <w:t>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pStyle w:val="5"/>
        <w:numPr>
          <w:ilvl w:val="0"/>
          <w:numId w:val="2"/>
        </w:numPr>
        <w:spacing w:line="360" w:lineRule="auto"/>
        <w:rPr>
          <w:rStyle w:val="16"/>
          <w:rFonts w:hint="eastAsia" w:ascii="仿宋" w:hAnsi="仿宋" w:eastAsia="仿宋"/>
          <w:b/>
          <w:bCs/>
          <w:highlight w:val="none"/>
        </w:rPr>
      </w:pPr>
      <w:r>
        <w:rPr>
          <w:rStyle w:val="16"/>
          <w:rFonts w:hint="eastAsia" w:ascii="仿宋" w:hAnsi="仿宋" w:eastAsia="仿宋"/>
          <w:b/>
          <w:bCs/>
          <w:highlight w:val="none"/>
        </w:rPr>
        <w:t>项目效率性分析</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1、实施进度</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w:t>
      </w:r>
      <w:r>
        <w:rPr>
          <w:rStyle w:val="16"/>
          <w:rFonts w:hint="eastAsia" w:ascii="仿宋_GB2312" w:hAnsi="楷体" w:eastAsia="仿宋_GB2312"/>
          <w:b w:val="0"/>
          <w:spacing w:val="-4"/>
          <w:sz w:val="28"/>
          <w:szCs w:val="28"/>
          <w:highlight w:val="none"/>
          <w:lang w:eastAsia="zh-CN"/>
        </w:rPr>
        <w:t>特克斯县阔克苏乡卫生院</w:t>
      </w:r>
      <w:r>
        <w:rPr>
          <w:rStyle w:val="16"/>
          <w:rFonts w:hint="eastAsia" w:ascii="仿宋_GB2312" w:hAnsi="楷体" w:eastAsia="仿宋_GB2312"/>
          <w:b w:val="0"/>
          <w:spacing w:val="-4"/>
          <w:sz w:val="28"/>
          <w:szCs w:val="28"/>
          <w:highlight w:val="none"/>
        </w:rPr>
        <w:t>共涉及专项项目</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个，截止到202</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年底，通过专项项目实施过程中的有效监督，我单位按预期完成了</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个专项的各项专项任务，项目总体完成率为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2、完成质量</w:t>
      </w:r>
    </w:p>
    <w:p>
      <w:pPr>
        <w:spacing w:line="360" w:lineRule="auto"/>
        <w:ind w:firstLine="544" w:firstLineChars="200"/>
        <w:rPr>
          <w:rStyle w:val="16"/>
          <w:rFonts w:hint="eastAsia" w:ascii="仿宋_GB2312" w:hAnsi="楷体" w:eastAsia="仿宋_GB2312"/>
          <w:b w:val="0"/>
          <w:spacing w:val="-4"/>
          <w:sz w:val="28"/>
          <w:szCs w:val="28"/>
          <w:highlight w:val="none"/>
        </w:rPr>
      </w:pPr>
      <w:bookmarkStart w:id="23" w:name="_Hlk96100380"/>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完成开展全民健康体检工作，体检覆盖率100%；全民健康体检信息系统建设率100%；居民健康档案规范化电子建档率93.05%；全民健康体检设备到位率100%；2021年11月底前完成</w:t>
      </w:r>
      <w:r>
        <w:rPr>
          <w:rStyle w:val="16"/>
          <w:rFonts w:hint="eastAsia" w:ascii="仿宋_GB2312" w:hAnsi="楷体" w:eastAsia="仿宋_GB2312"/>
          <w:b w:val="0"/>
          <w:color w:val="auto"/>
          <w:spacing w:val="-4"/>
          <w:sz w:val="28"/>
          <w:szCs w:val="28"/>
          <w:highlight w:val="none"/>
          <w:lang w:val="en-US" w:eastAsia="zh-CN"/>
        </w:rPr>
        <w:t>5160</w:t>
      </w:r>
      <w:r>
        <w:rPr>
          <w:rStyle w:val="16"/>
          <w:rFonts w:hint="eastAsia" w:ascii="仿宋_GB2312" w:hAnsi="楷体" w:eastAsia="仿宋_GB2312"/>
          <w:b w:val="0"/>
          <w:color w:val="auto"/>
          <w:spacing w:val="-4"/>
          <w:sz w:val="28"/>
          <w:szCs w:val="28"/>
          <w:highlight w:val="none"/>
        </w:rPr>
        <w:t>人。居民健康保健意识和知晓率逐步提高；居民健康水平提高。</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2、基本药物补助项目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color w:val="auto"/>
          <w:spacing w:val="-4"/>
          <w:sz w:val="28"/>
          <w:szCs w:val="28"/>
          <w:highlight w:val="none"/>
          <w:lang w:val="en-US" w:eastAsia="zh-CN"/>
        </w:rPr>
        <w:t>在基层医疗卫生机构建设1家中医馆，提升基层中医药服务能力，促进中医药特色优势的发挥。</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4、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ilvl w:val="0"/>
          <w:numId w:val="2"/>
        </w:numPr>
        <w:spacing w:line="360" w:lineRule="auto"/>
        <w:rPr>
          <w:rStyle w:val="16"/>
          <w:rFonts w:ascii="仿宋" w:hAnsi="仿宋" w:eastAsia="仿宋"/>
          <w:b/>
          <w:bCs/>
          <w:highlight w:val="none"/>
        </w:rPr>
      </w:pPr>
      <w:r>
        <w:rPr>
          <w:rStyle w:val="16"/>
          <w:rFonts w:hint="eastAsia" w:ascii="仿宋" w:hAnsi="仿宋" w:eastAsia="仿宋"/>
          <w:b/>
          <w:bCs/>
          <w:highlight w:val="none"/>
        </w:rPr>
        <w:t>项目效益性分析</w:t>
      </w:r>
    </w:p>
    <w:p>
      <w:pPr>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lang w:val="en-US" w:eastAsia="zh-CN"/>
        </w:rPr>
        <w:t>4</w:t>
      </w:r>
      <w:r>
        <w:rPr>
          <w:rStyle w:val="16"/>
          <w:rFonts w:hint="eastAsia" w:ascii="仿宋_GB2312" w:hAnsi="楷体" w:eastAsia="仿宋_GB2312"/>
          <w:b w:val="0"/>
          <w:bCs w:val="0"/>
          <w:spacing w:val="-4"/>
          <w:sz w:val="28"/>
          <w:szCs w:val="28"/>
          <w:highlight w:val="none"/>
        </w:rPr>
        <w:t>个专项项目预期目标完成程度、实施对经济和社会的影响如下</w:t>
      </w:r>
    </w:p>
    <w:p>
      <w:pPr>
        <w:numPr>
          <w:ilvl w:val="0"/>
          <w:numId w:val="3"/>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bookmarkStart w:id="24" w:name="_Toc70450310"/>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3"/>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3"/>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numPr>
          <w:ilvl w:val="0"/>
          <w:numId w:val="3"/>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bCs w:val="0"/>
          <w:color w:val="auto"/>
          <w:spacing w:val="-4"/>
          <w:sz w:val="28"/>
          <w:szCs w:val="28"/>
          <w:highlight w:val="none"/>
        </w:rPr>
        <w:t>部分完成</w:t>
      </w:r>
      <w:r>
        <w:rPr>
          <w:rStyle w:val="16"/>
          <w:rFonts w:hint="eastAsia" w:ascii="仿宋_GB2312" w:hAnsi="楷体" w:eastAsia="仿宋_GB2312"/>
          <w:b w:val="0"/>
          <w:bCs w:val="0"/>
          <w:color w:val="auto"/>
          <w:spacing w:val="-4"/>
          <w:sz w:val="28"/>
          <w:szCs w:val="28"/>
          <w:highlight w:val="none"/>
          <w:lang w:val="en-US" w:eastAsia="zh-CN"/>
        </w:rPr>
        <w:t>1</w:t>
      </w:r>
      <w:r>
        <w:rPr>
          <w:rStyle w:val="16"/>
          <w:rFonts w:hint="eastAsia" w:ascii="仿宋_GB2312" w:hAnsi="楷体" w:eastAsia="仿宋_GB2312"/>
          <w:b w:val="0"/>
          <w:bCs w:val="0"/>
          <w:color w:val="auto"/>
          <w:spacing w:val="-4"/>
          <w:sz w:val="28"/>
          <w:szCs w:val="28"/>
          <w:highlight w:val="none"/>
        </w:rPr>
        <w:t>家基层医疗机构的中医馆建设，提升基层中医药服务能力，促进中医药特色优势的发挥。</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宋体" w:eastAsia="仿宋_GB2312"/>
          <w:b w:val="0"/>
          <w:bCs w:val="0"/>
          <w:spacing w:val="-4"/>
          <w:sz w:val="28"/>
          <w:szCs w:val="28"/>
          <w:lang w:eastAsia="zh-CN"/>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264.7</w:t>
      </w:r>
      <w:r>
        <w:rPr>
          <w:rStyle w:val="16"/>
          <w:rFonts w:hint="eastAsia" w:ascii="仿宋_GB2312" w:hAnsi="宋体" w:eastAsia="仿宋_GB2312"/>
          <w:b w:val="0"/>
          <w:bCs w:val="0"/>
          <w:spacing w:val="-4"/>
          <w:sz w:val="28"/>
          <w:szCs w:val="28"/>
        </w:rPr>
        <w:t xml:space="preserve">万元，其中流动资产 </w:t>
      </w:r>
      <w:r>
        <w:rPr>
          <w:rStyle w:val="16"/>
          <w:rFonts w:hint="eastAsia" w:ascii="仿宋_GB2312" w:hAnsi="宋体" w:eastAsia="仿宋_GB2312"/>
          <w:b w:val="0"/>
          <w:bCs w:val="0"/>
          <w:spacing w:val="-4"/>
          <w:sz w:val="28"/>
          <w:szCs w:val="28"/>
          <w:lang w:val="en-US" w:eastAsia="zh-CN"/>
        </w:rPr>
        <w:t>164.3</w:t>
      </w:r>
      <w:r>
        <w:rPr>
          <w:rStyle w:val="16"/>
          <w:rFonts w:hint="eastAsia" w:ascii="仿宋_GB2312" w:hAnsi="宋体" w:eastAsia="仿宋_GB2312"/>
          <w:b w:val="0"/>
          <w:bCs w:val="0"/>
          <w:spacing w:val="-4"/>
          <w:sz w:val="28"/>
          <w:szCs w:val="28"/>
        </w:rPr>
        <w:t xml:space="preserve">万元，固定资产净值 </w:t>
      </w:r>
      <w:r>
        <w:rPr>
          <w:rStyle w:val="16"/>
          <w:rFonts w:hint="eastAsia" w:ascii="仿宋_GB2312" w:hAnsi="宋体" w:eastAsia="仿宋_GB2312"/>
          <w:b w:val="0"/>
          <w:bCs w:val="0"/>
          <w:spacing w:val="-4"/>
          <w:sz w:val="28"/>
          <w:szCs w:val="28"/>
          <w:lang w:val="en-US" w:eastAsia="zh-CN"/>
        </w:rPr>
        <w:t>240.6</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147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61.1</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17.92</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7.45</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rPr>
        <w:t xml:space="preserve">专用设备 </w:t>
      </w:r>
      <w:r>
        <w:rPr>
          <w:rStyle w:val="16"/>
          <w:rFonts w:hint="eastAsia" w:ascii="仿宋_GB2312" w:hAnsi="宋体" w:eastAsia="仿宋_GB2312"/>
          <w:b w:val="0"/>
          <w:bCs w:val="0"/>
          <w:spacing w:val="-4"/>
          <w:sz w:val="28"/>
          <w:szCs w:val="28"/>
          <w:lang w:val="en-US" w:eastAsia="zh-CN"/>
        </w:rPr>
        <w:t>73.68</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30.62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lang w:eastAsia="zh-CN"/>
        </w:rPr>
        <w:t>家具类</w:t>
      </w:r>
      <w:r>
        <w:rPr>
          <w:rStyle w:val="16"/>
          <w:rFonts w:hint="eastAsia" w:ascii="仿宋_GB2312" w:hAnsi="宋体" w:eastAsia="仿宋_GB2312"/>
          <w:b w:val="0"/>
          <w:bCs w:val="0"/>
          <w:spacing w:val="-4"/>
          <w:sz w:val="28"/>
          <w:szCs w:val="28"/>
          <w:lang w:val="en-US" w:eastAsia="zh-CN"/>
        </w:rPr>
        <w:t>2万元，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0.83</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 xml:space="preserve">本年度流动资产 </w:t>
      </w:r>
      <w:r>
        <w:rPr>
          <w:rStyle w:val="16"/>
          <w:rFonts w:hint="eastAsia" w:ascii="仿宋_GB2312" w:hAnsi="宋体" w:eastAsia="仿宋_GB2312"/>
          <w:b w:val="0"/>
          <w:bCs w:val="0"/>
          <w:spacing w:val="-4"/>
          <w:sz w:val="28"/>
          <w:szCs w:val="28"/>
          <w:lang w:val="en-US" w:eastAsia="zh-CN"/>
        </w:rPr>
        <w:t>16.43</w:t>
      </w:r>
      <w:r>
        <w:rPr>
          <w:rStyle w:val="16"/>
          <w:rFonts w:hint="eastAsia" w:ascii="仿宋_GB2312" w:hAnsi="宋体" w:eastAsia="仿宋_GB2312"/>
          <w:b w:val="0"/>
          <w:bCs w:val="0"/>
          <w:spacing w:val="-4"/>
          <w:sz w:val="28"/>
          <w:szCs w:val="28"/>
        </w:rPr>
        <w:t>万元，比上年</w:t>
      </w:r>
      <w:r>
        <w:rPr>
          <w:rStyle w:val="16"/>
          <w:rFonts w:hint="eastAsia" w:ascii="仿宋_GB2312" w:hAnsi="宋体" w:eastAsia="仿宋_GB2312"/>
          <w:b w:val="0"/>
          <w:bCs w:val="0"/>
          <w:spacing w:val="-4"/>
          <w:sz w:val="28"/>
          <w:szCs w:val="28"/>
          <w:lang w:eastAsia="zh-CN"/>
        </w:rPr>
        <w:t>减少</w:t>
      </w:r>
      <w:r>
        <w:rPr>
          <w:rStyle w:val="16"/>
          <w:rFonts w:hint="eastAsia" w:ascii="仿宋_GB2312" w:hAnsi="宋体" w:eastAsia="仿宋_GB2312"/>
          <w:b w:val="0"/>
          <w:bCs w:val="0"/>
          <w:spacing w:val="-4"/>
          <w:sz w:val="28"/>
          <w:szCs w:val="28"/>
          <w:lang w:val="en-US" w:eastAsia="zh-CN"/>
        </w:rPr>
        <w:t>2.96</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本年度应收账款减少</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446.52</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17.82</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本年新增固定资产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446.52</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ind w:firstLine="361" w:firstLineChars="100"/>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w:t>
      </w:r>
      <w:r>
        <w:rPr>
          <w:rStyle w:val="16"/>
          <w:rFonts w:hint="eastAsia" w:ascii="仿宋_GB2312" w:hAnsi="宋体" w:eastAsia="仿宋_GB2312"/>
          <w:b w:val="0"/>
          <w:bCs w:val="0"/>
          <w:spacing w:val="-4"/>
          <w:sz w:val="28"/>
          <w:szCs w:val="28"/>
          <w:highlight w:val="none"/>
        </w:rPr>
        <w:t>排</w:t>
      </w:r>
      <w:r>
        <w:rPr>
          <w:rStyle w:val="16"/>
          <w:rFonts w:ascii="仿宋_GB2312" w:hAnsi="宋体" w:eastAsia="仿宋_GB2312"/>
          <w:b w:val="0"/>
          <w:bCs w:val="0"/>
          <w:spacing w:val="-4"/>
          <w:sz w:val="28"/>
          <w:szCs w:val="28"/>
          <w:highlight w:val="none"/>
        </w:rPr>
        <w:t xml:space="preserve"> </w:t>
      </w:r>
      <w:r>
        <w:rPr>
          <w:rStyle w:val="16"/>
          <w:rFonts w:hint="eastAsia" w:ascii="仿宋_GB2312" w:hAnsi="宋体" w:eastAsia="仿宋_GB2312"/>
          <w:b w:val="0"/>
          <w:bCs w:val="0"/>
          <w:spacing w:val="-4"/>
          <w:sz w:val="28"/>
          <w:szCs w:val="28"/>
          <w:highlight w:val="none"/>
          <w:lang w:val="en-US" w:eastAsia="zh-CN"/>
        </w:rPr>
        <w:t>138.28</w:t>
      </w:r>
      <w:r>
        <w:rPr>
          <w:rStyle w:val="16"/>
          <w:rFonts w:hint="eastAsia" w:ascii="仿宋_GB2312" w:hAnsi="宋体" w:eastAsia="仿宋_GB2312"/>
          <w:b w:val="0"/>
          <w:bCs w:val="0"/>
          <w:spacing w:val="-4"/>
          <w:sz w:val="28"/>
          <w:szCs w:val="28"/>
          <w:highlight w:val="none"/>
        </w:rPr>
        <w:t>万元，年中调整</w:t>
      </w:r>
      <w:r>
        <w:rPr>
          <w:rStyle w:val="16"/>
          <w:rFonts w:hint="eastAsia" w:ascii="仿宋_GB2312" w:hAnsi="宋体" w:eastAsia="仿宋_GB2312"/>
          <w:b w:val="0"/>
          <w:bCs w:val="0"/>
          <w:spacing w:val="-4"/>
          <w:sz w:val="28"/>
          <w:szCs w:val="28"/>
          <w:highlight w:val="none"/>
          <w:lang w:val="en-US" w:eastAsia="zh-CN"/>
        </w:rPr>
        <w:t>74.22</w:t>
      </w:r>
      <w:r>
        <w:rPr>
          <w:rStyle w:val="16"/>
          <w:rFonts w:hint="eastAsia" w:ascii="仿宋_GB2312" w:hAnsi="宋体" w:eastAsia="仿宋_GB2312"/>
          <w:b w:val="0"/>
          <w:bCs w:val="0"/>
          <w:spacing w:val="-4"/>
          <w:sz w:val="28"/>
          <w:szCs w:val="28"/>
          <w:highlight w:val="none"/>
        </w:rPr>
        <w:t>万元，截止12月底支出</w:t>
      </w:r>
      <w:r>
        <w:rPr>
          <w:rStyle w:val="16"/>
          <w:rFonts w:hint="eastAsia" w:ascii="仿宋_GB2312" w:hAnsi="宋体" w:eastAsia="仿宋_GB2312"/>
          <w:b w:val="0"/>
          <w:bCs w:val="0"/>
          <w:spacing w:val="-4"/>
          <w:sz w:val="28"/>
          <w:szCs w:val="28"/>
          <w:highlight w:val="none"/>
          <w:lang w:val="en-US" w:eastAsia="zh-CN"/>
        </w:rPr>
        <w:t>212.5</w:t>
      </w:r>
      <w:r>
        <w:rPr>
          <w:rStyle w:val="16"/>
          <w:rFonts w:hint="eastAsia" w:ascii="仿宋_GB2312" w:hAnsi="宋体" w:eastAsia="仿宋_GB2312"/>
          <w:b w:val="0"/>
          <w:bCs w:val="0"/>
          <w:spacing w:val="-4"/>
          <w:sz w:val="28"/>
          <w:szCs w:val="28"/>
          <w:highlight w:val="none"/>
        </w:rPr>
        <w:t>万元，执行率</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816" w:firstLineChars="3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卫生院领导</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lang w:eastAsia="zh-CN"/>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医疗卫生</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1、基本公共卫生服务工作，完成上级下达的工作指标；</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预防接种中心的设置建设和运行管理，为，及时发现、报告并协助处理疑似预防接种异常反应、做好各类疫苗出入库管理工作。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2、适龄儿童提供免费的国家免疫规划疫苗接种服务任务提前完成</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3、提高全民健康保健意识，有病早治早好，减轻大病负担成效显著。</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4、加大医疗便民惠民措施的推广力度，改进服务模式，优化服务流程，方便群众就医。进一步规范门诊、病房的管理，使群众真正得到实惠，群众满意度高。</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年部门支出的有效性主要体现在我部单位各项工作成效上，一是</w:t>
      </w:r>
      <w:r>
        <w:rPr>
          <w:rStyle w:val="16"/>
          <w:rFonts w:hint="eastAsia" w:ascii="仿宋_GB2312" w:hAnsi="宋体" w:eastAsia="仿宋_GB2312"/>
          <w:b w:val="0"/>
          <w:bCs w:val="0"/>
          <w:color w:val="auto"/>
          <w:spacing w:val="-4"/>
          <w:sz w:val="28"/>
          <w:szCs w:val="28"/>
          <w:lang w:eastAsia="zh-CN"/>
        </w:rPr>
        <w:t>全民体检</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医疗卫生</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合理处置医疗废物垃圾</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提高全系统日常工作效率和质量</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全系统医疗工作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医疗服务</w:t>
      </w:r>
      <w:r>
        <w:rPr>
          <w:rStyle w:val="16"/>
          <w:rFonts w:hint="eastAsia" w:ascii="仿宋_GB2312" w:hAnsi="宋体" w:eastAsia="仿宋_GB2312"/>
          <w:b w:val="0"/>
          <w:bCs w:val="0"/>
          <w:color w:val="auto"/>
          <w:spacing w:val="-4"/>
          <w:sz w:val="28"/>
          <w:szCs w:val="28"/>
        </w:rPr>
        <w:t>水平进一步增强，详细情况如下：</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宋体" w:eastAsia="仿宋_GB2312"/>
          <w:b w:val="0"/>
          <w:bCs w:val="0"/>
          <w:color w:val="auto"/>
          <w:spacing w:val="-4"/>
          <w:sz w:val="28"/>
          <w:szCs w:val="28"/>
          <w:lang w:eastAsia="zh-CN"/>
        </w:rPr>
        <w:t>特克斯县阔克苏乡卫生院</w:t>
      </w:r>
      <w:r>
        <w:rPr>
          <w:rStyle w:val="16"/>
          <w:rFonts w:hint="eastAsia" w:ascii="仿宋_GB2312" w:hAnsi="宋体" w:eastAsia="仿宋_GB2312"/>
          <w:b w:val="0"/>
          <w:bCs w:val="0"/>
          <w:color w:val="auto"/>
          <w:spacing w:val="-4"/>
          <w:sz w:val="28"/>
          <w:szCs w:val="28"/>
        </w:rPr>
        <w:t xml:space="preserve">整体绩效目标共设置一级指标 </w:t>
      </w:r>
      <w:r>
        <w:rPr>
          <w:rStyle w:val="16"/>
          <w:rFonts w:hint="eastAsia" w:ascii="仿宋_GB2312" w:hAnsi="宋体" w:eastAsia="仿宋_GB2312"/>
          <w:b w:val="0"/>
          <w:bCs w:val="0"/>
          <w:color w:val="auto"/>
          <w:spacing w:val="-4"/>
          <w:sz w:val="28"/>
          <w:szCs w:val="28"/>
          <w:lang w:val="en-US" w:eastAsia="zh-CN"/>
        </w:rPr>
        <w:t>3</w:t>
      </w:r>
      <w:r>
        <w:rPr>
          <w:rStyle w:val="16"/>
          <w:rFonts w:hint="eastAsia" w:ascii="仿宋_GB2312" w:hAnsi="宋体" w:eastAsia="仿宋_GB2312"/>
          <w:b w:val="0"/>
          <w:bCs w:val="0"/>
          <w:color w:val="auto"/>
          <w:spacing w:val="-4"/>
          <w:sz w:val="28"/>
          <w:szCs w:val="28"/>
        </w:rPr>
        <w:t xml:space="preserve"> 个，二级指标 </w:t>
      </w:r>
      <w:r>
        <w:rPr>
          <w:rStyle w:val="16"/>
          <w:rFonts w:hint="eastAsia" w:ascii="仿宋_GB2312" w:hAnsi="宋体" w:eastAsia="仿宋_GB2312"/>
          <w:b w:val="0"/>
          <w:bCs w:val="0"/>
          <w:color w:val="auto"/>
          <w:spacing w:val="-4"/>
          <w:sz w:val="28"/>
          <w:szCs w:val="28"/>
          <w:lang w:val="en-US" w:eastAsia="zh-CN"/>
        </w:rPr>
        <w:t>8</w:t>
      </w:r>
      <w:r>
        <w:rPr>
          <w:rStyle w:val="16"/>
          <w:rFonts w:hint="eastAsia" w:ascii="仿宋_GB2312" w:hAnsi="宋体" w:eastAsia="仿宋_GB2312"/>
          <w:b w:val="0"/>
          <w:bCs w:val="0"/>
          <w:color w:val="auto"/>
          <w:spacing w:val="-4"/>
          <w:sz w:val="28"/>
          <w:szCs w:val="28"/>
        </w:rPr>
        <w:t xml:space="preserve">个，三级指标 </w:t>
      </w:r>
      <w:r>
        <w:rPr>
          <w:rStyle w:val="16"/>
          <w:rFonts w:hint="eastAsia" w:ascii="仿宋_GB2312" w:hAnsi="宋体" w:eastAsia="仿宋_GB2312"/>
          <w:b w:val="0"/>
          <w:bCs w:val="0"/>
          <w:color w:val="auto"/>
          <w:spacing w:val="-4"/>
          <w:sz w:val="28"/>
          <w:szCs w:val="28"/>
          <w:lang w:val="en-US" w:eastAsia="zh-CN"/>
        </w:rPr>
        <w:t>12</w:t>
      </w:r>
      <w:r>
        <w:rPr>
          <w:rStyle w:val="16"/>
          <w:rFonts w:hint="eastAsia" w:ascii="仿宋_GB2312" w:hAnsi="宋体" w:eastAsia="仿宋_GB2312"/>
          <w:b w:val="0"/>
          <w:bCs w:val="0"/>
          <w:color w:val="auto"/>
          <w:spacing w:val="-4"/>
          <w:sz w:val="28"/>
          <w:szCs w:val="28"/>
        </w:rPr>
        <w:t xml:space="preserve"> 个，详细说明如下</w:t>
      </w:r>
      <w:r>
        <w:rPr>
          <w:rStyle w:val="16"/>
          <w:rFonts w:hint="eastAsia" w:ascii="仿宋_GB2312" w:hAnsi="宋体" w:eastAsia="仿宋_GB2312"/>
          <w:b w:val="0"/>
          <w:bCs w:val="0"/>
          <w:color w:val="auto"/>
          <w:spacing w:val="-4"/>
          <w:sz w:val="28"/>
          <w:szCs w:val="28"/>
          <w:lang w:eastAsia="zh-CN"/>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eastAsia="zh-CN"/>
        </w:rPr>
        <w:t>阔克苏乡</w:t>
      </w:r>
      <w:r>
        <w:rPr>
          <w:rStyle w:val="16"/>
          <w:rFonts w:hint="eastAsia" w:ascii="仿宋_GB2312" w:hAnsi="宋体" w:eastAsia="仿宋_GB2312"/>
          <w:b w:val="0"/>
          <w:spacing w:val="-4"/>
          <w:sz w:val="28"/>
          <w:szCs w:val="28"/>
          <w:highlight w:val="none"/>
        </w:rPr>
        <w:t>卫生院</w:t>
      </w:r>
      <w:r>
        <w:rPr>
          <w:rStyle w:val="16"/>
          <w:rFonts w:hint="eastAsia" w:ascii="仿宋_GB2312" w:hAnsi="宋体" w:eastAsia="仿宋_GB2312"/>
          <w:b w:val="0"/>
          <w:spacing w:val="-4"/>
          <w:sz w:val="28"/>
          <w:szCs w:val="28"/>
          <w:highlight w:val="none"/>
          <w:lang w:val="en-US" w:eastAsia="zh-CN"/>
        </w:rPr>
        <w:t>在职</w:t>
      </w:r>
      <w:r>
        <w:rPr>
          <w:rStyle w:val="16"/>
          <w:rFonts w:hint="eastAsia" w:ascii="仿宋_GB2312" w:hAnsi="宋体" w:eastAsia="仿宋_GB2312"/>
          <w:b w:val="0"/>
          <w:spacing w:val="-4"/>
          <w:sz w:val="28"/>
          <w:szCs w:val="28"/>
          <w:highlight w:val="none"/>
        </w:rPr>
        <w:t>人数，指标值：</w:t>
      </w:r>
      <w:r>
        <w:rPr>
          <w:rStyle w:val="16"/>
          <w:rFonts w:hint="eastAsia" w:ascii="仿宋_GB2312" w:hAnsi="宋体" w:eastAsia="仿宋_GB2312"/>
          <w:b w:val="0"/>
          <w:spacing w:val="-4"/>
          <w:sz w:val="28"/>
          <w:szCs w:val="28"/>
          <w:highlight w:val="none"/>
          <w:lang w:val="en-US" w:eastAsia="zh-CN"/>
        </w:rPr>
        <w:t>=15人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15</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阔克苏乡</w:t>
      </w:r>
      <w:r>
        <w:rPr>
          <w:rStyle w:val="16"/>
          <w:rFonts w:hint="eastAsia" w:ascii="仿宋_GB2312" w:hAnsi="宋体" w:eastAsia="仿宋_GB2312"/>
          <w:b w:val="0"/>
          <w:spacing w:val="-4"/>
          <w:sz w:val="28"/>
          <w:szCs w:val="28"/>
          <w:highlight w:val="none"/>
        </w:rPr>
        <w:t>卫生院</w:t>
      </w:r>
      <w:r>
        <w:rPr>
          <w:rStyle w:val="16"/>
          <w:rFonts w:hint="eastAsia" w:ascii="仿宋_GB2312" w:hAnsi="宋体" w:eastAsia="仿宋_GB2312"/>
          <w:b w:val="0"/>
          <w:spacing w:val="-4"/>
          <w:sz w:val="28"/>
          <w:szCs w:val="28"/>
          <w:highlight w:val="none"/>
          <w:lang w:val="en-US" w:eastAsia="zh-CN"/>
        </w:rPr>
        <w:t>退休</w:t>
      </w:r>
      <w:r>
        <w:rPr>
          <w:rStyle w:val="16"/>
          <w:rFonts w:hint="eastAsia" w:ascii="仿宋_GB2312" w:hAnsi="宋体" w:eastAsia="仿宋_GB2312"/>
          <w:b w:val="0"/>
          <w:spacing w:val="-4"/>
          <w:sz w:val="28"/>
          <w:szCs w:val="28"/>
          <w:highlight w:val="none"/>
        </w:rPr>
        <w:t>人数，指标值：</w:t>
      </w:r>
      <w:r>
        <w:rPr>
          <w:rStyle w:val="16"/>
          <w:rFonts w:hint="eastAsia" w:ascii="仿宋_GB2312" w:hAnsi="宋体" w:eastAsia="仿宋_GB2312"/>
          <w:b w:val="0"/>
          <w:spacing w:val="-4"/>
          <w:sz w:val="28"/>
          <w:szCs w:val="28"/>
          <w:highlight w:val="none"/>
          <w:lang w:val="en-US" w:eastAsia="zh-CN"/>
        </w:rPr>
        <w:t>=2人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2</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指标1：确保全系统人员工资及社保正常发放，指标值：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val="en-US" w:eastAsia="zh-CN"/>
        </w:rPr>
        <w:t>慰问退休干部覆盖率</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工资及补助发放及时性</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人均</w:t>
      </w:r>
      <w:r>
        <w:rPr>
          <w:rStyle w:val="16"/>
          <w:rFonts w:hint="eastAsia" w:ascii="仿宋_GB2312" w:hAnsi="宋体" w:eastAsia="仿宋_GB2312"/>
          <w:b w:val="0"/>
          <w:spacing w:val="-4"/>
          <w:sz w:val="28"/>
          <w:szCs w:val="28"/>
          <w:highlight w:val="none"/>
        </w:rPr>
        <w:t>工资福利支出 ，指标值：</w:t>
      </w:r>
      <w:r>
        <w:rPr>
          <w:rStyle w:val="16"/>
          <w:rFonts w:hint="eastAsia" w:ascii="仿宋_GB2312" w:hAnsi="宋体" w:eastAsia="仿宋_GB2312"/>
          <w:b w:val="0"/>
          <w:spacing w:val="-4"/>
          <w:sz w:val="28"/>
          <w:szCs w:val="28"/>
          <w:highlight w:val="none"/>
          <w:lang w:val="en-US" w:eastAsia="zh-CN"/>
        </w:rPr>
        <w:t>=9.19万元</w:t>
      </w:r>
      <w:r>
        <w:rPr>
          <w:rStyle w:val="16"/>
          <w:rFonts w:hint="eastAsia" w:ascii="宋体" w:hAnsi="宋体" w:eastAsia="宋体" w:cs="宋体"/>
          <w:b w:val="0"/>
          <w:spacing w:val="-4"/>
          <w:sz w:val="28"/>
          <w:szCs w:val="28"/>
          <w:highlight w:val="none"/>
          <w:lang w:val="en-US" w:eastAsia="zh-CN"/>
        </w:rPr>
        <w:t>/人</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9.19万元</w:t>
      </w:r>
      <w:r>
        <w:rPr>
          <w:rStyle w:val="16"/>
          <w:rFonts w:hint="eastAsia" w:ascii="宋体" w:hAnsi="宋体" w:eastAsia="宋体" w:cs="宋体"/>
          <w:b w:val="0"/>
          <w:spacing w:val="-4"/>
          <w:sz w:val="28"/>
          <w:szCs w:val="28"/>
          <w:highlight w:val="none"/>
          <w:lang w:val="en-US" w:eastAsia="zh-CN"/>
        </w:rPr>
        <w:t>/</w:t>
      </w:r>
      <w:r>
        <w:rPr>
          <w:rStyle w:val="16"/>
          <w:rFonts w:hint="eastAsia" w:ascii="宋体" w:hAnsi="宋体" w:eastAsia="宋体" w:cs="宋体"/>
          <w:b w:val="0"/>
          <w:bCs/>
          <w:spacing w:val="-4"/>
          <w:sz w:val="28"/>
          <w:szCs w:val="28"/>
          <w:highlight w:val="none"/>
          <w:lang w:val="en-US" w:eastAsia="zh-CN"/>
        </w:rPr>
        <w:t>人</w:t>
      </w:r>
      <w:r>
        <w:rPr>
          <w:rStyle w:val="16"/>
          <w:rFonts w:hint="eastAsia" w:ascii="仿宋_GB2312" w:hAnsi="宋体" w:eastAsia="仿宋_GB2312"/>
          <w:b w:val="0"/>
          <w:bCs/>
          <w:spacing w:val="-4"/>
          <w:sz w:val="28"/>
          <w:szCs w:val="28"/>
          <w:highlight w:val="none"/>
        </w:rPr>
        <w:t xml:space="preserve"> </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default" w:ascii="仿宋_GB2312" w:hAnsi="宋体" w:eastAsia="仿宋_GB2312"/>
          <w:b w:val="0"/>
          <w:spacing w:val="-4"/>
          <w:sz w:val="28"/>
          <w:szCs w:val="28"/>
          <w:highlight w:val="none"/>
          <w:lang w:val="en-US" w:eastAsia="zh-CN"/>
        </w:rPr>
      </w:pPr>
      <w:r>
        <w:rPr>
          <w:rStyle w:val="16"/>
          <w:rFonts w:hint="eastAsia" w:ascii="仿宋_GB2312" w:hAnsi="宋体" w:eastAsia="仿宋_GB2312"/>
          <w:b w:val="0"/>
          <w:spacing w:val="-4"/>
          <w:sz w:val="28"/>
          <w:szCs w:val="28"/>
          <w:highlight w:val="none"/>
          <w:lang w:val="en-US" w:eastAsia="zh-CN"/>
        </w:rPr>
        <w:t>指标2：退休人员人均福利支出，指标值：=0.13万元</w:t>
      </w:r>
      <w:r>
        <w:rPr>
          <w:rStyle w:val="16"/>
          <w:rFonts w:hint="eastAsia" w:ascii="宋体" w:hAnsi="宋体" w:eastAsia="宋体" w:cs="宋体"/>
          <w:b w:val="0"/>
          <w:spacing w:val="-4"/>
          <w:sz w:val="28"/>
          <w:szCs w:val="28"/>
          <w:highlight w:val="none"/>
          <w:lang w:val="en-US" w:eastAsia="zh-CN"/>
        </w:rPr>
        <w:t>/人</w:t>
      </w:r>
      <w:r>
        <w:rPr>
          <w:rStyle w:val="16"/>
          <w:rFonts w:hint="eastAsia" w:ascii="仿宋_GB2312" w:hAnsi="宋体" w:eastAsia="仿宋_GB2312"/>
          <w:b w:val="0"/>
          <w:spacing w:val="-4"/>
          <w:sz w:val="28"/>
          <w:szCs w:val="28"/>
          <w:highlight w:val="none"/>
        </w:rPr>
        <w:t xml:space="preserve">  </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lang w:val="en-US" w:eastAsia="zh-CN"/>
        </w:rPr>
        <w:t>实际完成值：0.13万元</w:t>
      </w:r>
      <w:r>
        <w:rPr>
          <w:rStyle w:val="16"/>
          <w:rFonts w:hint="eastAsia" w:ascii="宋体" w:hAnsi="宋体" w:eastAsia="宋体" w:cs="宋体"/>
          <w:b w:val="0"/>
          <w:spacing w:val="-4"/>
          <w:sz w:val="28"/>
          <w:szCs w:val="28"/>
          <w:highlight w:val="none"/>
          <w:lang w:val="en-US" w:eastAsia="zh-CN"/>
        </w:rPr>
        <w:t>/人</w:t>
      </w:r>
      <w:r>
        <w:rPr>
          <w:rStyle w:val="16"/>
          <w:rFonts w:hint="eastAsia" w:ascii="仿宋_GB2312" w:hAnsi="宋体" w:eastAsia="仿宋_GB2312"/>
          <w:b w:val="0"/>
          <w:spacing w:val="-4"/>
          <w:sz w:val="28"/>
          <w:szCs w:val="28"/>
          <w:highlight w:val="none"/>
        </w:rPr>
        <w:t xml:space="preserve">  </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lang w:val="en-US" w:eastAsia="zh-CN"/>
        </w:rPr>
        <w:t>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5</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指标1：提高全系统日常工作效率和质量 ，指标值：</w:t>
      </w:r>
      <w:r>
        <w:rPr>
          <w:rStyle w:val="16"/>
          <w:rFonts w:hint="eastAsia" w:ascii="仿宋_GB2312" w:hAnsi="宋体" w:eastAsia="仿宋_GB2312"/>
          <w:b w:val="0"/>
          <w:spacing w:val="-4"/>
          <w:sz w:val="28"/>
          <w:szCs w:val="28"/>
          <w:highlight w:val="none"/>
          <w:lang w:val="en-US" w:eastAsia="zh-CN"/>
        </w:rPr>
        <w:t>有效提高</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有效提高</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6</w:t>
      </w:r>
      <w:r>
        <w:rPr>
          <w:rStyle w:val="16"/>
          <w:rFonts w:hint="eastAsia" w:ascii="仿宋_GB2312" w:hAnsi="宋体" w:eastAsia="仿宋_GB2312"/>
          <w:b w:val="0"/>
          <w:spacing w:val="-4"/>
          <w:sz w:val="28"/>
          <w:szCs w:val="28"/>
          <w:highlight w:val="none"/>
        </w:rPr>
        <w:t>、生态效益指标：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 xml:space="preserve">指标1：合理处置医疗废物垃圾 ，指标值： </w:t>
      </w:r>
      <w:r>
        <w:rPr>
          <w:rStyle w:val="16"/>
          <w:rFonts w:hint="eastAsia" w:ascii="仿宋_GB2312" w:hAnsi="宋体" w:eastAsia="仿宋_GB2312"/>
          <w:b w:val="0"/>
          <w:spacing w:val="-4"/>
          <w:sz w:val="28"/>
          <w:szCs w:val="28"/>
          <w:highlight w:val="none"/>
          <w:lang w:eastAsia="zh-CN"/>
        </w:rPr>
        <w:t>处置合理</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eastAsia="zh-CN"/>
        </w:rPr>
        <w:t>处置合理</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7</w:t>
      </w:r>
      <w:r>
        <w:rPr>
          <w:rStyle w:val="16"/>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居民健康水平提高</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有效提高</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有效提高</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8</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eastAsia="zh-CN"/>
        </w:rPr>
        <w:t>患者满意度</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90%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90%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干部职工满意度</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100%</w:t>
      </w:r>
      <w:bookmarkStart w:id="37" w:name="_GoBack"/>
      <w:bookmarkEnd w:id="37"/>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12"/>
        <w:widowControl/>
        <w:numPr>
          <w:ilvl w:val="0"/>
          <w:numId w:val="0"/>
        </w:numPr>
        <w:spacing w:before="40" w:beforeAutospacing="0" w:after="0" w:afterAutospacing="0" w:line="520" w:lineRule="atLeast"/>
        <w:jc w:val="both"/>
        <w:rPr>
          <w:rFonts w:hint="eastAsia" w:ascii="仿宋" w:hAnsi="仿宋" w:eastAsia="仿宋"/>
          <w:b/>
          <w:bCs/>
          <w:sz w:val="36"/>
          <w:szCs w:val="36"/>
          <w:lang w:bidi="ar"/>
        </w:rPr>
      </w:pPr>
      <w:bookmarkStart w:id="31" w:name="_Toc70450317"/>
      <w:r>
        <w:rPr>
          <w:rFonts w:hint="eastAsia" w:ascii="仿宋" w:hAnsi="仿宋" w:eastAsia="仿宋"/>
          <w:b/>
          <w:bCs/>
          <w:sz w:val="36"/>
          <w:szCs w:val="36"/>
          <w:lang w:eastAsia="zh-CN" w:bidi="ar"/>
        </w:rPr>
        <w:t>六、</w:t>
      </w:r>
      <w:r>
        <w:rPr>
          <w:rFonts w:hint="eastAsia" w:ascii="仿宋" w:hAnsi="仿宋" w:eastAsia="仿宋"/>
          <w:b/>
          <w:bCs/>
          <w:sz w:val="36"/>
          <w:szCs w:val="36"/>
          <w:lang w:bidi="ar"/>
        </w:rPr>
        <w:t>存在的主要问题</w:t>
      </w:r>
      <w:bookmarkEnd w:id="31"/>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4"/>
        </w:numPr>
        <w:spacing w:line="560" w:lineRule="exact"/>
        <w:ind w:firstLine="530" w:firstLineChars="195"/>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项目细化管理工作不足。我单位无项目安排</w:t>
      </w:r>
    </w:p>
    <w:p>
      <w:pPr>
        <w:pStyle w:val="29"/>
        <w:spacing w:line="560" w:lineRule="exact"/>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Style w:val="16"/>
          <w:rFonts w:hint="eastAsia" w:ascii="仿宋" w:hAnsi="仿宋" w:eastAsia="仿宋"/>
          <w:b/>
          <w:bCs/>
          <w:sz w:val="32"/>
          <w:szCs w:val="32"/>
        </w:rPr>
      </w:pPr>
      <w:bookmarkStart w:id="33" w:name="_Toc70450319"/>
      <w:r>
        <w:rPr>
          <w:rStyle w:val="16"/>
          <w:rFonts w:hint="eastAsia" w:ascii="仿宋" w:hAnsi="仿宋" w:eastAsia="仿宋"/>
          <w:b/>
          <w:bCs/>
          <w:sz w:val="32"/>
          <w:szCs w:val="32"/>
          <w:lang w:eastAsia="zh-CN"/>
        </w:rPr>
        <w:t>（一）</w:t>
      </w:r>
      <w:r>
        <w:rPr>
          <w:rStyle w:val="16"/>
          <w:rFonts w:hint="eastAsia" w:ascii="仿宋" w:hAnsi="仿宋" w:eastAsia="仿宋"/>
          <w:b/>
          <w:bCs/>
          <w:sz w:val="32"/>
          <w:szCs w:val="32"/>
        </w:rPr>
        <w:t>改进措施</w:t>
      </w:r>
      <w:bookmarkEnd w:id="33"/>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加强新行政单位会计制度和新预算法学习培训、规范账务处理，加强新《预算法》、《行政单位会计制度》 、《会计法》 、《行政单位财务规则》等学习培训,规范部门预算收支核算。</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 xml:space="preserve"> 一是 制定和完善基本支出、项目支出等各项支出标准,严格按项目进度执行预算, 增强预算的约束力和严肃性。</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二是 落实预算执行分析,及时了解预算执行差异,合理调整、纠正预算执行偏差，切实提高部门预算收支管理水平。尽可能地做到决算与预算相衔接。</w:t>
      </w:r>
      <w:bookmarkStart w:id="34" w:name="_Toc70450320"/>
    </w:p>
    <w:p>
      <w:pPr>
        <w:pStyle w:val="12"/>
        <w:widowControl/>
        <w:numPr>
          <w:ilvl w:val="0"/>
          <w:numId w:val="4"/>
        </w:numPr>
        <w:spacing w:before="40" w:beforeAutospacing="0" w:after="0" w:afterAutospacing="0" w:line="520" w:lineRule="atLeast"/>
        <w:ind w:left="0" w:leftChars="0" w:firstLine="626" w:firstLineChars="195"/>
        <w:jc w:val="both"/>
        <w:rPr>
          <w:rStyle w:val="16"/>
          <w:rFonts w:hint="eastAsia" w:ascii="仿宋" w:hAnsi="仿宋" w:eastAsia="仿宋"/>
          <w:b/>
          <w:bCs/>
          <w:sz w:val="32"/>
          <w:szCs w:val="32"/>
        </w:rPr>
      </w:pPr>
      <w:r>
        <w:rPr>
          <w:rStyle w:val="16"/>
          <w:rFonts w:hint="eastAsia" w:ascii="仿宋" w:hAnsi="仿宋" w:eastAsia="仿宋"/>
          <w:b/>
          <w:bCs/>
          <w:sz w:val="32"/>
          <w:szCs w:val="32"/>
        </w:rPr>
        <w:t>建议</w:t>
      </w:r>
      <w:bookmarkEnd w:id="34"/>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1、完善管理制度,进-步加强资产管理。严格按照《固定资产管理办法》的规定，加强固定资产管理,及时登记、更新台账，加强资产卡片管理,对各类实物资产进行全面盘点,确保账账、账实相符。</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2、加强学习。进一步明确如何参照考核体系，科学合理设定绩效目标，充分发挥预算绩效管理工作效用。</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3、财务上，会计核算要更加详细，为本单位各项工作的开展、总结、评估提供有效数据资料支撑,为各项业务工作更好的开展提供帮助。</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4、从源头上强化对专项资金预算管理。实行专项资金预算管理，结合单位实际, 按轻重缓急统筹安排编制预算,提高预算编制科学性和合理性,优化资金结构。</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5、按时间进度分解资金使用计划。专项资金的使用，要事前做计划，事中进行控制，事后总结提高。合理安排资金使用,充分体现资金投向的目标和效益。</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6、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pPr>
        <w:rPr>
          <w:highlight w:val="none"/>
        </w:rPr>
      </w:pPr>
      <w:r>
        <w:rPr>
          <w:highlight w:val="none"/>
        </w:rPr>
        <w:br w:type="page"/>
      </w:r>
    </w:p>
    <w:tbl>
      <w:tblPr>
        <w:tblStyle w:val="14"/>
        <w:tblW w:w="7907" w:type="dxa"/>
        <w:tblInd w:w="93" w:type="dxa"/>
        <w:tblLayout w:type="fixed"/>
        <w:tblCellMar>
          <w:top w:w="0" w:type="dxa"/>
          <w:left w:w="108" w:type="dxa"/>
          <w:bottom w:w="0" w:type="dxa"/>
          <w:right w:w="108" w:type="dxa"/>
        </w:tblCellMar>
      </w:tblPr>
      <w:tblGrid>
        <w:gridCol w:w="545"/>
        <w:gridCol w:w="736"/>
        <w:gridCol w:w="223"/>
        <w:gridCol w:w="741"/>
        <w:gridCol w:w="937"/>
        <w:gridCol w:w="979"/>
        <w:gridCol w:w="326"/>
        <w:gridCol w:w="1264"/>
        <w:gridCol w:w="1255"/>
        <w:gridCol w:w="901"/>
      </w:tblGrid>
      <w:tr>
        <w:tblPrEx>
          <w:tblCellMar>
            <w:top w:w="0" w:type="dxa"/>
            <w:left w:w="108" w:type="dxa"/>
            <w:bottom w:w="0" w:type="dxa"/>
            <w:right w:w="108" w:type="dxa"/>
          </w:tblCellMar>
        </w:tblPrEx>
        <w:trPr>
          <w:trHeight w:val="405" w:hRule="atLeast"/>
        </w:trPr>
        <w:tc>
          <w:tcPr>
            <w:tcW w:w="7907"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highlight w:val="none"/>
              </w:rPr>
            </w:pPr>
          </w:p>
          <w:p>
            <w:pPr>
              <w:widowControl/>
              <w:spacing w:line="640" w:lineRule="exact"/>
              <w:jc w:val="center"/>
              <w:rPr>
                <w:rFonts w:ascii="方正小标宋_GBK" w:hAnsi="宋体" w:eastAsia="方正小标宋_GBK" w:cs="宋体"/>
                <w:kern w:val="0"/>
                <w:sz w:val="44"/>
                <w:szCs w:val="44"/>
                <w:highlight w:val="none"/>
              </w:rPr>
            </w:pPr>
            <w:r>
              <w:rPr>
                <w:rFonts w:hint="eastAsia" w:ascii="方正小标宋_GBK" w:hAnsi="宋体" w:eastAsia="方正小标宋_GBK" w:cs="宋体"/>
                <w:kern w:val="0"/>
                <w:sz w:val="44"/>
                <w:szCs w:val="44"/>
                <w:highlight w:val="none"/>
              </w:rPr>
              <w:t>部门整体支出绩效目标自评表</w:t>
            </w:r>
          </w:p>
        </w:tc>
      </w:tr>
      <w:tr>
        <w:tblPrEx>
          <w:tblCellMar>
            <w:top w:w="0" w:type="dxa"/>
            <w:left w:w="108" w:type="dxa"/>
            <w:bottom w:w="0" w:type="dxa"/>
            <w:right w:w="108" w:type="dxa"/>
          </w:tblCellMar>
        </w:tblPrEx>
        <w:trPr>
          <w:trHeight w:val="285" w:hRule="atLeast"/>
        </w:trPr>
        <w:tc>
          <w:tcPr>
            <w:tcW w:w="7907"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highlight w:val="none"/>
              </w:rPr>
            </w:pPr>
            <w:r>
              <w:rPr>
                <w:rFonts w:hint="eastAsia" w:ascii="宋体" w:hAnsi="宋体" w:eastAsia="宋体" w:cs="宋体"/>
                <w:kern w:val="0"/>
                <w:sz w:val="24"/>
                <w:highlight w:val="none"/>
              </w:rPr>
              <w:t>（</w:t>
            </w:r>
            <w:r>
              <w:rPr>
                <w:rFonts w:ascii="Times New Roman" w:hAnsi="Times New Roman" w:eastAsia="宋体" w:cs="Times New Roman"/>
                <w:kern w:val="0"/>
                <w:sz w:val="24"/>
                <w:highlight w:val="none"/>
              </w:rPr>
              <w:t xml:space="preserve">   </w:t>
            </w:r>
            <w:r>
              <w:rPr>
                <w:rFonts w:hint="eastAsia" w:ascii="Times New Roman" w:hAnsi="Times New Roman" w:eastAsia="宋体" w:cs="Times New Roman"/>
                <w:kern w:val="0"/>
                <w:sz w:val="24"/>
                <w:highlight w:val="none"/>
                <w:lang w:val="en-US" w:eastAsia="zh-CN"/>
              </w:rPr>
              <w:t>2021</w:t>
            </w:r>
            <w:r>
              <w:rPr>
                <w:rFonts w:hint="eastAsia" w:ascii="宋体" w:hAnsi="宋体" w:eastAsia="宋体" w:cs="宋体"/>
                <w:kern w:val="0"/>
                <w:sz w:val="24"/>
                <w:highlight w:val="none"/>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74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93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97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32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5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c>
          <w:tcPr>
            <w:tcW w:w="9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部门名称</w:t>
            </w:r>
          </w:p>
        </w:tc>
        <w:tc>
          <w:tcPr>
            <w:tcW w:w="640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eastAsia="zh-CN"/>
              </w:rPr>
              <w:t>特克斯县阔克苏乡卫生院</w:t>
            </w: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主要</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任务名称</w:t>
            </w:r>
          </w:p>
        </w:tc>
        <w:tc>
          <w:tcPr>
            <w:tcW w:w="7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主要内容</w:t>
            </w:r>
          </w:p>
        </w:tc>
        <w:tc>
          <w:tcPr>
            <w:tcW w:w="224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预算金额（万元）</w:t>
            </w:r>
          </w:p>
        </w:tc>
        <w:tc>
          <w:tcPr>
            <w:tcW w:w="342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7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9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3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2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i w:val="0"/>
                <w:iCs w:val="0"/>
                <w:color w:val="000000"/>
                <w:kern w:val="0"/>
                <w:sz w:val="18"/>
                <w:szCs w:val="18"/>
                <w:highlight w:val="none"/>
                <w:u w:val="none"/>
                <w:lang w:val="en-US" w:eastAsia="zh-CN" w:bidi="ar"/>
              </w:rPr>
              <w:t>人员经费</w:t>
            </w:r>
          </w:p>
        </w:tc>
        <w:tc>
          <w:tcPr>
            <w:tcW w:w="741"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hint="eastAsia" w:ascii="宋体" w:hAnsi="宋体" w:eastAsia="宋体" w:cs="宋体"/>
                <w:i w:val="0"/>
                <w:iCs w:val="0"/>
                <w:color w:val="000000"/>
                <w:kern w:val="0"/>
                <w:sz w:val="18"/>
                <w:szCs w:val="18"/>
                <w:highlight w:val="none"/>
                <w:u w:val="none"/>
                <w:lang w:val="en-US" w:eastAsia="zh-CN" w:bidi="ar"/>
              </w:rPr>
              <w:t>工资福利支出</w:t>
            </w:r>
          </w:p>
        </w:tc>
        <w:tc>
          <w:tcPr>
            <w:tcW w:w="93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138.28</w:t>
            </w: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138.28</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r>
              <w:rPr>
                <w:rFonts w:hint="eastAsia" w:ascii="宋体" w:hAnsi="宋体" w:eastAsia="宋体" w:cs="宋体"/>
                <w:kern w:val="0"/>
                <w:sz w:val="24"/>
                <w:highlight w:val="none"/>
              </w:rPr>
              <w:t>　</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138.28</w:t>
            </w:r>
          </w:p>
        </w:tc>
        <w:tc>
          <w:tcPr>
            <w:tcW w:w="125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138.28</w:t>
            </w:r>
          </w:p>
        </w:tc>
        <w:tc>
          <w:tcPr>
            <w:tcW w:w="90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170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金额合计</w:t>
            </w:r>
          </w:p>
        </w:tc>
        <w:tc>
          <w:tcPr>
            <w:tcW w:w="93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138.28</w:t>
            </w: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138.28</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0</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138.28</w:t>
            </w:r>
          </w:p>
        </w:tc>
        <w:tc>
          <w:tcPr>
            <w:tcW w:w="12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138.28</w:t>
            </w:r>
          </w:p>
        </w:tc>
        <w:tc>
          <w:tcPr>
            <w:tcW w:w="9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　</w:t>
            </w:r>
            <w:r>
              <w:rPr>
                <w:rFonts w:hint="eastAsia" w:ascii="宋体" w:hAnsi="宋体" w:eastAsia="宋体" w:cs="宋体"/>
                <w:color w:val="000000"/>
                <w:kern w:val="0"/>
                <w:sz w:val="22"/>
                <w:szCs w:val="22"/>
                <w:highlight w:val="none"/>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w:t>
            </w:r>
          </w:p>
        </w:tc>
        <w:tc>
          <w:tcPr>
            <w:tcW w:w="2637"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预期目标</w:t>
            </w:r>
          </w:p>
        </w:tc>
        <w:tc>
          <w:tcPr>
            <w:tcW w:w="472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实际完成目标</w:t>
            </w:r>
          </w:p>
        </w:tc>
      </w:tr>
      <w:tr>
        <w:tblPrEx>
          <w:tblCellMar>
            <w:top w:w="0" w:type="dxa"/>
            <w:left w:w="108" w:type="dxa"/>
            <w:bottom w:w="0" w:type="dxa"/>
            <w:right w:w="108" w:type="dxa"/>
          </w:tblCellMar>
        </w:tblPrEx>
        <w:trPr>
          <w:trHeight w:val="207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总体</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目标</w:t>
            </w:r>
          </w:p>
        </w:tc>
        <w:tc>
          <w:tcPr>
            <w:tcW w:w="2637" w:type="dxa"/>
            <w:gridSpan w:val="4"/>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目标1.为人民健康医疗与预防保健服务，常见病多发病的治疗和护理；预防保健。      </w:t>
            </w:r>
          </w:p>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目标2.保持医疗业务稳定增长。                                              目标3.提高医疗服务质量。完善医疗管理各项制度，规范医疗行为，确保医疗安全，提高        医疗质量，让患者满意。</w:t>
            </w:r>
          </w:p>
        </w:tc>
        <w:tc>
          <w:tcPr>
            <w:tcW w:w="472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目标1.为人民健康医疗与预防保健服务，常见病多发病的治疗和护理；预防保健。      目标2.保持医疗业务稳定增长。                                              目标3.提高医疗服务质量。完善医疗管理各项制度，规范医疗行为，确保医疗安全，提高 医疗质量，让患者满意。</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绩</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效</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一级指标</w:t>
            </w:r>
          </w:p>
        </w:tc>
        <w:tc>
          <w:tcPr>
            <w:tcW w:w="9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二级指标</w:t>
            </w:r>
          </w:p>
        </w:tc>
        <w:tc>
          <w:tcPr>
            <w:tcW w:w="1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三级指标</w:t>
            </w:r>
          </w:p>
        </w:tc>
        <w:tc>
          <w:tcPr>
            <w:tcW w:w="15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预期指标值（包含数字及文字描述）</w:t>
            </w:r>
          </w:p>
        </w:tc>
        <w:tc>
          <w:tcPr>
            <w:tcW w:w="21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完成指标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数量指标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eastAsia="zh-CN"/>
              </w:rPr>
              <w:t>阔克苏乡</w:t>
            </w:r>
            <w:r>
              <w:rPr>
                <w:rFonts w:hint="eastAsia" w:ascii="宋体" w:hAnsi="宋体" w:eastAsia="宋体" w:cs="宋体"/>
                <w:kern w:val="0"/>
                <w:sz w:val="24"/>
                <w:highlight w:val="none"/>
              </w:rPr>
              <w:t>卫生院</w:t>
            </w:r>
            <w:r>
              <w:rPr>
                <w:rFonts w:hint="eastAsia" w:ascii="宋体" w:hAnsi="宋体" w:eastAsia="宋体" w:cs="宋体"/>
                <w:kern w:val="0"/>
                <w:sz w:val="24"/>
                <w:highlight w:val="none"/>
                <w:lang w:val="en-US" w:eastAsia="zh-CN"/>
              </w:rPr>
              <w:t>在职</w:t>
            </w:r>
            <w:r>
              <w:rPr>
                <w:rFonts w:hint="eastAsia" w:ascii="宋体" w:hAnsi="宋体" w:eastAsia="宋体" w:cs="宋体"/>
                <w:kern w:val="0"/>
                <w:sz w:val="24"/>
                <w:highlight w:val="none"/>
              </w:rPr>
              <w:t>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=15人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rPr>
            </w:pPr>
            <w:r>
              <w:rPr>
                <w:rFonts w:hint="eastAsia" w:ascii="宋体" w:hAnsi="宋体" w:eastAsia="宋体" w:cs="宋体"/>
                <w:kern w:val="0"/>
                <w:sz w:val="24"/>
                <w:highlight w:val="none"/>
                <w:lang w:val="en-US" w:eastAsia="zh-CN"/>
              </w:rPr>
              <w:t>15人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eastAsia="zh-CN"/>
              </w:rPr>
              <w:t>阔克苏乡</w:t>
            </w:r>
            <w:r>
              <w:rPr>
                <w:rFonts w:hint="eastAsia" w:ascii="宋体" w:hAnsi="宋体" w:eastAsia="宋体" w:cs="宋体"/>
                <w:kern w:val="0"/>
                <w:sz w:val="24"/>
                <w:highlight w:val="none"/>
              </w:rPr>
              <w:t>卫生院</w:t>
            </w:r>
            <w:r>
              <w:rPr>
                <w:rFonts w:hint="eastAsia" w:ascii="宋体" w:hAnsi="宋体" w:eastAsia="宋体" w:cs="宋体"/>
                <w:kern w:val="0"/>
                <w:sz w:val="24"/>
                <w:highlight w:val="none"/>
                <w:lang w:val="en-US" w:eastAsia="zh-CN"/>
              </w:rPr>
              <w:t>退休</w:t>
            </w:r>
            <w:r>
              <w:rPr>
                <w:rFonts w:hint="eastAsia" w:ascii="宋体" w:hAnsi="宋体" w:eastAsia="宋体" w:cs="宋体"/>
                <w:kern w:val="0"/>
                <w:sz w:val="24"/>
                <w:highlight w:val="none"/>
              </w:rPr>
              <w:t>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kern w:val="0"/>
                <w:sz w:val="24"/>
                <w:highlight w:val="none"/>
                <w:lang w:val="en-US" w:eastAsia="zh-CN"/>
              </w:rPr>
              <w:t>2人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质量指标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确保全系统人员工资及社保正常发放</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w:t>
            </w:r>
            <w:r>
              <w:rPr>
                <w:rFonts w:hint="eastAsia" w:ascii="宋体" w:hAnsi="宋体" w:eastAsia="宋体" w:cs="宋体"/>
                <w:color w:val="000000"/>
                <w:kern w:val="0"/>
                <w:sz w:val="22"/>
                <w:szCs w:val="22"/>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慰问退休干部覆盖率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w:t>
            </w:r>
            <w:r>
              <w:rPr>
                <w:rFonts w:hint="eastAsia" w:ascii="宋体" w:hAnsi="宋体" w:eastAsia="宋体" w:cs="宋体"/>
                <w:color w:val="000000"/>
                <w:kern w:val="0"/>
                <w:sz w:val="22"/>
                <w:szCs w:val="22"/>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lang w:val="en-US" w:eastAsia="zh-CN"/>
              </w:rPr>
              <w:t>=</w:t>
            </w:r>
            <w:r>
              <w:rPr>
                <w:rFonts w:hint="eastAsia" w:ascii="宋体" w:hAnsi="宋体" w:eastAsia="宋体" w:cs="宋体"/>
                <w:color w:val="000000"/>
                <w:kern w:val="0"/>
                <w:sz w:val="22"/>
                <w:szCs w:val="22"/>
                <w:highlight w:val="none"/>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时效指标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工资及补助发放及时性</w:t>
            </w:r>
            <w:r>
              <w:rPr>
                <w:rFonts w:hint="eastAsia" w:ascii="宋体" w:hAnsi="宋体" w:eastAsia="宋体" w:cs="宋体"/>
                <w:kern w:val="0"/>
                <w:sz w:val="24"/>
                <w:highlight w:val="none"/>
              </w:rPr>
              <w:t>　</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color w:val="000000"/>
                <w:kern w:val="0"/>
                <w:sz w:val="22"/>
                <w:szCs w:val="22"/>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ind w:firstLine="220" w:firstLineChars="10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成本指标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人均</w:t>
            </w:r>
            <w:r>
              <w:rPr>
                <w:rFonts w:hint="eastAsia" w:ascii="宋体" w:hAnsi="宋体" w:eastAsia="宋体" w:cs="宋体"/>
                <w:kern w:val="0"/>
                <w:sz w:val="24"/>
                <w:highlight w:val="none"/>
              </w:rPr>
              <w:t>工资福利支出</w:t>
            </w:r>
          </w:p>
        </w:tc>
        <w:tc>
          <w:tcPr>
            <w:tcW w:w="159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color w:val="000000"/>
                <w:kern w:val="0"/>
                <w:sz w:val="22"/>
                <w:szCs w:val="22"/>
                <w:highlight w:val="none"/>
                <w:lang w:val="en-US" w:eastAsia="zh-CN"/>
              </w:rPr>
              <w:t>=9.19万元/人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9.19万元/人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退休</w:t>
            </w:r>
            <w:r>
              <w:rPr>
                <w:rFonts w:hint="eastAsia" w:ascii="宋体" w:hAnsi="宋体" w:eastAsia="宋体" w:cs="宋体"/>
                <w:kern w:val="0"/>
                <w:sz w:val="24"/>
                <w:highlight w:val="none"/>
              </w:rPr>
              <w:t>工资福利支出</w:t>
            </w:r>
          </w:p>
        </w:tc>
        <w:tc>
          <w:tcPr>
            <w:tcW w:w="159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=0.13万元/人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0.13万元/人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restart"/>
            <w:tcBorders>
              <w:top w:val="nil"/>
              <w:left w:val="single" w:color="auto" w:sz="4" w:space="0"/>
              <w:right w:val="single" w:color="auto" w:sz="4" w:space="0"/>
            </w:tcBorders>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效益指标</w:t>
            </w: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社会效益</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提高全系统日常工作效率和质量</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生态效益</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合理处置医疗废物垃圾</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处置合理</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处置合理</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可持续影响</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居民健康水平提高</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处置合理</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处置合理</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满意度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满意度指标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患者满意度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90%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lang w:val="en-US" w:eastAsia="zh-CN"/>
              </w:rPr>
              <w:t>90%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干部职工满意度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90%</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3E1BE"/>
    <w:multiLevelType w:val="singleLevel"/>
    <w:tmpl w:val="C163E1BE"/>
    <w:lvl w:ilvl="0" w:tentative="0">
      <w:start w:val="1"/>
      <w:numFmt w:val="decimal"/>
      <w:suff w:val="nothing"/>
      <w:lvlText w:val="（%1）"/>
      <w:lvlJc w:val="left"/>
    </w:lvl>
  </w:abstractNum>
  <w:abstractNum w:abstractNumId="1">
    <w:nsid w:val="E41F1B0A"/>
    <w:multiLevelType w:val="singleLevel"/>
    <w:tmpl w:val="E41F1B0A"/>
    <w:lvl w:ilvl="0" w:tentative="0">
      <w:start w:val="2"/>
      <w:numFmt w:val="chineseCounting"/>
      <w:suff w:val="nothing"/>
      <w:lvlText w:val="（%1）"/>
      <w:lvlJc w:val="left"/>
      <w:rPr>
        <w:rFonts w:hint="eastAsia"/>
      </w:rPr>
    </w:lvl>
  </w:abstractNum>
  <w:abstractNum w:abstractNumId="2">
    <w:nsid w:val="2F439B19"/>
    <w:multiLevelType w:val="singleLevel"/>
    <w:tmpl w:val="2F439B19"/>
    <w:lvl w:ilvl="0" w:tentative="0">
      <w:start w:val="1"/>
      <w:numFmt w:val="decimal"/>
      <w:suff w:val="nothing"/>
      <w:lvlText w:val="%1、"/>
      <w:lvlJc w:val="left"/>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2023C"/>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039B"/>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19374B"/>
    <w:rsid w:val="01C80E2B"/>
    <w:rsid w:val="020B6562"/>
    <w:rsid w:val="02E40CB9"/>
    <w:rsid w:val="03304330"/>
    <w:rsid w:val="033B55DE"/>
    <w:rsid w:val="03925F18"/>
    <w:rsid w:val="03A17A1D"/>
    <w:rsid w:val="03A3799C"/>
    <w:rsid w:val="03A70EB9"/>
    <w:rsid w:val="03C01C1B"/>
    <w:rsid w:val="03C048B8"/>
    <w:rsid w:val="03D71443"/>
    <w:rsid w:val="03EA0D07"/>
    <w:rsid w:val="04135FC2"/>
    <w:rsid w:val="04E22431"/>
    <w:rsid w:val="05254622"/>
    <w:rsid w:val="054F517A"/>
    <w:rsid w:val="05825D18"/>
    <w:rsid w:val="058D48DD"/>
    <w:rsid w:val="05D21669"/>
    <w:rsid w:val="05FB29F6"/>
    <w:rsid w:val="062E2ABB"/>
    <w:rsid w:val="06D90736"/>
    <w:rsid w:val="0707173B"/>
    <w:rsid w:val="07614E5C"/>
    <w:rsid w:val="079706C6"/>
    <w:rsid w:val="08210D61"/>
    <w:rsid w:val="08240F7D"/>
    <w:rsid w:val="085D0F4D"/>
    <w:rsid w:val="08857421"/>
    <w:rsid w:val="088C1BA4"/>
    <w:rsid w:val="088D7CB9"/>
    <w:rsid w:val="08A673BB"/>
    <w:rsid w:val="08EB2DDC"/>
    <w:rsid w:val="09052F7C"/>
    <w:rsid w:val="09123E14"/>
    <w:rsid w:val="09B6061F"/>
    <w:rsid w:val="09D02D7A"/>
    <w:rsid w:val="0A3877B1"/>
    <w:rsid w:val="0B224A4A"/>
    <w:rsid w:val="0B27604D"/>
    <w:rsid w:val="0BAA540F"/>
    <w:rsid w:val="0C101E39"/>
    <w:rsid w:val="0C577261"/>
    <w:rsid w:val="0C663AD6"/>
    <w:rsid w:val="0C8043C6"/>
    <w:rsid w:val="0C8239E4"/>
    <w:rsid w:val="0CB72581"/>
    <w:rsid w:val="0CD179C0"/>
    <w:rsid w:val="0D7E740E"/>
    <w:rsid w:val="0D9A5F6A"/>
    <w:rsid w:val="0D9F3CE1"/>
    <w:rsid w:val="0DAE41A4"/>
    <w:rsid w:val="0DB24F20"/>
    <w:rsid w:val="0DE5171A"/>
    <w:rsid w:val="0E063643"/>
    <w:rsid w:val="0E126AA2"/>
    <w:rsid w:val="0E156D7D"/>
    <w:rsid w:val="0E7C3059"/>
    <w:rsid w:val="0E9A5E97"/>
    <w:rsid w:val="0EBF5BC1"/>
    <w:rsid w:val="0F987DE0"/>
    <w:rsid w:val="0FEC7FBC"/>
    <w:rsid w:val="107E4873"/>
    <w:rsid w:val="10BB2863"/>
    <w:rsid w:val="11263173"/>
    <w:rsid w:val="11355CCE"/>
    <w:rsid w:val="115A6F83"/>
    <w:rsid w:val="118E0D33"/>
    <w:rsid w:val="119945C7"/>
    <w:rsid w:val="11B244D5"/>
    <w:rsid w:val="11BF7DC7"/>
    <w:rsid w:val="11F11193"/>
    <w:rsid w:val="12400D9C"/>
    <w:rsid w:val="12510D80"/>
    <w:rsid w:val="12724B4A"/>
    <w:rsid w:val="12AB188F"/>
    <w:rsid w:val="12F675BC"/>
    <w:rsid w:val="135D564E"/>
    <w:rsid w:val="137B712A"/>
    <w:rsid w:val="13B9484A"/>
    <w:rsid w:val="13EA42E9"/>
    <w:rsid w:val="143829C9"/>
    <w:rsid w:val="1484257E"/>
    <w:rsid w:val="14880DEE"/>
    <w:rsid w:val="15795E8A"/>
    <w:rsid w:val="16107457"/>
    <w:rsid w:val="1663225A"/>
    <w:rsid w:val="16717C3B"/>
    <w:rsid w:val="17735F10"/>
    <w:rsid w:val="17753519"/>
    <w:rsid w:val="17D82CC7"/>
    <w:rsid w:val="17E6131A"/>
    <w:rsid w:val="180B1151"/>
    <w:rsid w:val="180D1FE1"/>
    <w:rsid w:val="181A358B"/>
    <w:rsid w:val="1843158A"/>
    <w:rsid w:val="18492330"/>
    <w:rsid w:val="185A53CB"/>
    <w:rsid w:val="18C52F08"/>
    <w:rsid w:val="18D966D4"/>
    <w:rsid w:val="190A61BD"/>
    <w:rsid w:val="192167EE"/>
    <w:rsid w:val="1980480D"/>
    <w:rsid w:val="19A941EF"/>
    <w:rsid w:val="19E33CDE"/>
    <w:rsid w:val="1AA84481"/>
    <w:rsid w:val="1AA95FDD"/>
    <w:rsid w:val="1ABF5410"/>
    <w:rsid w:val="1AD9564F"/>
    <w:rsid w:val="1B6037B5"/>
    <w:rsid w:val="1B783A36"/>
    <w:rsid w:val="1DEA2996"/>
    <w:rsid w:val="1E1E2805"/>
    <w:rsid w:val="1E804039"/>
    <w:rsid w:val="1EB60E4D"/>
    <w:rsid w:val="1F734F8F"/>
    <w:rsid w:val="1F87799A"/>
    <w:rsid w:val="1FF567CC"/>
    <w:rsid w:val="200850C8"/>
    <w:rsid w:val="20652C4B"/>
    <w:rsid w:val="206C297B"/>
    <w:rsid w:val="208069D9"/>
    <w:rsid w:val="2167078E"/>
    <w:rsid w:val="21DF1779"/>
    <w:rsid w:val="21EB4C02"/>
    <w:rsid w:val="21EE5C2B"/>
    <w:rsid w:val="22205293"/>
    <w:rsid w:val="22251391"/>
    <w:rsid w:val="22746EC1"/>
    <w:rsid w:val="228A52B7"/>
    <w:rsid w:val="22B64D3E"/>
    <w:rsid w:val="22D6265B"/>
    <w:rsid w:val="231B5F84"/>
    <w:rsid w:val="231F11F2"/>
    <w:rsid w:val="233D623F"/>
    <w:rsid w:val="23642998"/>
    <w:rsid w:val="23A37CD7"/>
    <w:rsid w:val="23F06815"/>
    <w:rsid w:val="240F1528"/>
    <w:rsid w:val="24173A9D"/>
    <w:rsid w:val="243E2C9C"/>
    <w:rsid w:val="24620DA9"/>
    <w:rsid w:val="246F7338"/>
    <w:rsid w:val="24DE7308"/>
    <w:rsid w:val="251146BA"/>
    <w:rsid w:val="259E2443"/>
    <w:rsid w:val="25A314BB"/>
    <w:rsid w:val="25CF74B0"/>
    <w:rsid w:val="25E140B6"/>
    <w:rsid w:val="260C31CF"/>
    <w:rsid w:val="261A2414"/>
    <w:rsid w:val="26515170"/>
    <w:rsid w:val="269A4AE5"/>
    <w:rsid w:val="270021DD"/>
    <w:rsid w:val="27006EC4"/>
    <w:rsid w:val="27523FF5"/>
    <w:rsid w:val="27585D3B"/>
    <w:rsid w:val="275E7B74"/>
    <w:rsid w:val="27C86D6D"/>
    <w:rsid w:val="28083771"/>
    <w:rsid w:val="28873D38"/>
    <w:rsid w:val="29573698"/>
    <w:rsid w:val="2AB94D71"/>
    <w:rsid w:val="2AE15652"/>
    <w:rsid w:val="2B0E7EF5"/>
    <w:rsid w:val="2B654F6E"/>
    <w:rsid w:val="2B682322"/>
    <w:rsid w:val="2B73047F"/>
    <w:rsid w:val="2B7A439E"/>
    <w:rsid w:val="2B9B5F37"/>
    <w:rsid w:val="2BAB0200"/>
    <w:rsid w:val="2C8F208C"/>
    <w:rsid w:val="2CD30743"/>
    <w:rsid w:val="2D01128B"/>
    <w:rsid w:val="2D274E9F"/>
    <w:rsid w:val="2D817985"/>
    <w:rsid w:val="2D8F45F1"/>
    <w:rsid w:val="2D976FA3"/>
    <w:rsid w:val="2D9F56FC"/>
    <w:rsid w:val="2E7425DC"/>
    <w:rsid w:val="2E945E55"/>
    <w:rsid w:val="2EF62BB9"/>
    <w:rsid w:val="2F120E83"/>
    <w:rsid w:val="2F7A5336"/>
    <w:rsid w:val="2F80763A"/>
    <w:rsid w:val="2F9851F6"/>
    <w:rsid w:val="300214FC"/>
    <w:rsid w:val="30602468"/>
    <w:rsid w:val="30765084"/>
    <w:rsid w:val="309121EB"/>
    <w:rsid w:val="311C7242"/>
    <w:rsid w:val="316317F1"/>
    <w:rsid w:val="31B50D6C"/>
    <w:rsid w:val="31DA751A"/>
    <w:rsid w:val="32024569"/>
    <w:rsid w:val="321254A9"/>
    <w:rsid w:val="321D1B19"/>
    <w:rsid w:val="32213525"/>
    <w:rsid w:val="32A40D5F"/>
    <w:rsid w:val="32CB20DD"/>
    <w:rsid w:val="32E04C66"/>
    <w:rsid w:val="32EA0739"/>
    <w:rsid w:val="330048C4"/>
    <w:rsid w:val="332276D4"/>
    <w:rsid w:val="33266E86"/>
    <w:rsid w:val="335E624A"/>
    <w:rsid w:val="33AA075D"/>
    <w:rsid w:val="33D60A36"/>
    <w:rsid w:val="34C55B06"/>
    <w:rsid w:val="35184F2F"/>
    <w:rsid w:val="3538727D"/>
    <w:rsid w:val="35C96ED9"/>
    <w:rsid w:val="35CB0D00"/>
    <w:rsid w:val="361D429C"/>
    <w:rsid w:val="36602650"/>
    <w:rsid w:val="368175EA"/>
    <w:rsid w:val="36B60C44"/>
    <w:rsid w:val="36D12C3D"/>
    <w:rsid w:val="36DF2EAC"/>
    <w:rsid w:val="37102D96"/>
    <w:rsid w:val="37217B5C"/>
    <w:rsid w:val="37370909"/>
    <w:rsid w:val="37697D50"/>
    <w:rsid w:val="37710D1D"/>
    <w:rsid w:val="379A56FD"/>
    <w:rsid w:val="38650266"/>
    <w:rsid w:val="38D06499"/>
    <w:rsid w:val="38DB11C2"/>
    <w:rsid w:val="39004FAC"/>
    <w:rsid w:val="39063C78"/>
    <w:rsid w:val="390944EB"/>
    <w:rsid w:val="3956709D"/>
    <w:rsid w:val="39865DFA"/>
    <w:rsid w:val="39AA1B7F"/>
    <w:rsid w:val="3A421344"/>
    <w:rsid w:val="3A4A5D93"/>
    <w:rsid w:val="3A4C2742"/>
    <w:rsid w:val="3A9504A3"/>
    <w:rsid w:val="3AAB0B3D"/>
    <w:rsid w:val="3AE43B6A"/>
    <w:rsid w:val="3AFD3D09"/>
    <w:rsid w:val="3B633F66"/>
    <w:rsid w:val="3B706354"/>
    <w:rsid w:val="3B8B0EED"/>
    <w:rsid w:val="3BB63C3E"/>
    <w:rsid w:val="3BBF56B1"/>
    <w:rsid w:val="3C066A41"/>
    <w:rsid w:val="3C9E04EC"/>
    <w:rsid w:val="3CB02B07"/>
    <w:rsid w:val="3D286C0F"/>
    <w:rsid w:val="3DE76E53"/>
    <w:rsid w:val="3E356049"/>
    <w:rsid w:val="3E935A23"/>
    <w:rsid w:val="3FAE300C"/>
    <w:rsid w:val="3FD7056F"/>
    <w:rsid w:val="40AF53B3"/>
    <w:rsid w:val="40E16892"/>
    <w:rsid w:val="4104098A"/>
    <w:rsid w:val="41563CB3"/>
    <w:rsid w:val="41810572"/>
    <w:rsid w:val="41D50676"/>
    <w:rsid w:val="426A731A"/>
    <w:rsid w:val="427354E1"/>
    <w:rsid w:val="42BC4522"/>
    <w:rsid w:val="42EF1F14"/>
    <w:rsid w:val="430170F5"/>
    <w:rsid w:val="434B2FE3"/>
    <w:rsid w:val="437722AE"/>
    <w:rsid w:val="43980797"/>
    <w:rsid w:val="439E0692"/>
    <w:rsid w:val="43AF115D"/>
    <w:rsid w:val="43D8666A"/>
    <w:rsid w:val="4430441E"/>
    <w:rsid w:val="4448240D"/>
    <w:rsid w:val="44505662"/>
    <w:rsid w:val="44912836"/>
    <w:rsid w:val="44C7487B"/>
    <w:rsid w:val="44C76A2E"/>
    <w:rsid w:val="450714B3"/>
    <w:rsid w:val="45B565C5"/>
    <w:rsid w:val="45DE1D16"/>
    <w:rsid w:val="45EB7327"/>
    <w:rsid w:val="46CF5EB8"/>
    <w:rsid w:val="472748C2"/>
    <w:rsid w:val="47752A80"/>
    <w:rsid w:val="47B90A40"/>
    <w:rsid w:val="47F93599"/>
    <w:rsid w:val="4891738D"/>
    <w:rsid w:val="48933724"/>
    <w:rsid w:val="48BA096C"/>
    <w:rsid w:val="48D6059F"/>
    <w:rsid w:val="4969366E"/>
    <w:rsid w:val="497B29A4"/>
    <w:rsid w:val="49C31E19"/>
    <w:rsid w:val="4A1F7253"/>
    <w:rsid w:val="4A5F5DA9"/>
    <w:rsid w:val="4A60561A"/>
    <w:rsid w:val="4A8C3CB7"/>
    <w:rsid w:val="4A916B85"/>
    <w:rsid w:val="4AD81102"/>
    <w:rsid w:val="4B33754A"/>
    <w:rsid w:val="4BAC22E6"/>
    <w:rsid w:val="4BBB52E8"/>
    <w:rsid w:val="4C2E6A83"/>
    <w:rsid w:val="4C7D0878"/>
    <w:rsid w:val="4C7F4D4D"/>
    <w:rsid w:val="4C92109C"/>
    <w:rsid w:val="4CEC0E20"/>
    <w:rsid w:val="4CF52CC7"/>
    <w:rsid w:val="4D0C1C18"/>
    <w:rsid w:val="4D18200F"/>
    <w:rsid w:val="4D3D487C"/>
    <w:rsid w:val="4D7E0A99"/>
    <w:rsid w:val="4D867FA0"/>
    <w:rsid w:val="4D88772C"/>
    <w:rsid w:val="4DAB434D"/>
    <w:rsid w:val="4E530E40"/>
    <w:rsid w:val="4EC475B4"/>
    <w:rsid w:val="4EF573E7"/>
    <w:rsid w:val="4F1C4522"/>
    <w:rsid w:val="4F54064D"/>
    <w:rsid w:val="4FC834C3"/>
    <w:rsid w:val="500946E5"/>
    <w:rsid w:val="502C0702"/>
    <w:rsid w:val="50A775F7"/>
    <w:rsid w:val="52216888"/>
    <w:rsid w:val="52506EF0"/>
    <w:rsid w:val="52507252"/>
    <w:rsid w:val="52685C4A"/>
    <w:rsid w:val="52B362F9"/>
    <w:rsid w:val="52E7383F"/>
    <w:rsid w:val="52F47743"/>
    <w:rsid w:val="52F81EF3"/>
    <w:rsid w:val="53141CFD"/>
    <w:rsid w:val="5349075F"/>
    <w:rsid w:val="535A7484"/>
    <w:rsid w:val="536816EA"/>
    <w:rsid w:val="536A62BA"/>
    <w:rsid w:val="53BC39C2"/>
    <w:rsid w:val="541B07FA"/>
    <w:rsid w:val="54884A74"/>
    <w:rsid w:val="54993EDF"/>
    <w:rsid w:val="54A715B2"/>
    <w:rsid w:val="54BF3B7C"/>
    <w:rsid w:val="555E416F"/>
    <w:rsid w:val="558D0A8B"/>
    <w:rsid w:val="55C84515"/>
    <w:rsid w:val="55D938D3"/>
    <w:rsid w:val="56300233"/>
    <w:rsid w:val="56872DE7"/>
    <w:rsid w:val="56EC5D34"/>
    <w:rsid w:val="5747457B"/>
    <w:rsid w:val="575130B0"/>
    <w:rsid w:val="5764514F"/>
    <w:rsid w:val="57AE56A5"/>
    <w:rsid w:val="57B52DED"/>
    <w:rsid w:val="588C16E6"/>
    <w:rsid w:val="58A13918"/>
    <w:rsid w:val="58B374DC"/>
    <w:rsid w:val="592C5FC5"/>
    <w:rsid w:val="5A074550"/>
    <w:rsid w:val="5A181572"/>
    <w:rsid w:val="5AAB00E6"/>
    <w:rsid w:val="5AE80D32"/>
    <w:rsid w:val="5B48270C"/>
    <w:rsid w:val="5B6B7F25"/>
    <w:rsid w:val="5B9E3381"/>
    <w:rsid w:val="5BB56698"/>
    <w:rsid w:val="5C4B0139"/>
    <w:rsid w:val="5C6C1C19"/>
    <w:rsid w:val="5C972D20"/>
    <w:rsid w:val="5CED392C"/>
    <w:rsid w:val="5D00340E"/>
    <w:rsid w:val="5D2E018F"/>
    <w:rsid w:val="5D367D2B"/>
    <w:rsid w:val="5D3C4760"/>
    <w:rsid w:val="5D9A6DC5"/>
    <w:rsid w:val="5DC76F21"/>
    <w:rsid w:val="5DFD790A"/>
    <w:rsid w:val="5DFD7BFA"/>
    <w:rsid w:val="5E527FEC"/>
    <w:rsid w:val="5E9B7D6E"/>
    <w:rsid w:val="5F1919AD"/>
    <w:rsid w:val="5F2260BF"/>
    <w:rsid w:val="5F3819E9"/>
    <w:rsid w:val="5FCE2EF5"/>
    <w:rsid w:val="60244EF9"/>
    <w:rsid w:val="60642375"/>
    <w:rsid w:val="60A6327A"/>
    <w:rsid w:val="60C37BD3"/>
    <w:rsid w:val="60E07694"/>
    <w:rsid w:val="61326B6C"/>
    <w:rsid w:val="61EF6ACC"/>
    <w:rsid w:val="620C344C"/>
    <w:rsid w:val="621C155B"/>
    <w:rsid w:val="629F33DA"/>
    <w:rsid w:val="62BF738D"/>
    <w:rsid w:val="62DD1251"/>
    <w:rsid w:val="62F05CB3"/>
    <w:rsid w:val="6320397E"/>
    <w:rsid w:val="635B0CCA"/>
    <w:rsid w:val="6427240F"/>
    <w:rsid w:val="644F1370"/>
    <w:rsid w:val="648C220A"/>
    <w:rsid w:val="64DF3B0B"/>
    <w:rsid w:val="651F5149"/>
    <w:rsid w:val="65213465"/>
    <w:rsid w:val="654746A7"/>
    <w:rsid w:val="659A24B1"/>
    <w:rsid w:val="65CE1048"/>
    <w:rsid w:val="66476CC8"/>
    <w:rsid w:val="666F716D"/>
    <w:rsid w:val="66C72EB0"/>
    <w:rsid w:val="66DD588B"/>
    <w:rsid w:val="67501D91"/>
    <w:rsid w:val="67D47848"/>
    <w:rsid w:val="680D1C6B"/>
    <w:rsid w:val="68147942"/>
    <w:rsid w:val="6840009B"/>
    <w:rsid w:val="687662BC"/>
    <w:rsid w:val="68A832F6"/>
    <w:rsid w:val="68BF68E2"/>
    <w:rsid w:val="68CF5103"/>
    <w:rsid w:val="691966E0"/>
    <w:rsid w:val="69567F3F"/>
    <w:rsid w:val="696B63FE"/>
    <w:rsid w:val="69D527CC"/>
    <w:rsid w:val="69D56449"/>
    <w:rsid w:val="69FA181B"/>
    <w:rsid w:val="6A411459"/>
    <w:rsid w:val="6A5C05F9"/>
    <w:rsid w:val="6AE4459A"/>
    <w:rsid w:val="6B2B53E1"/>
    <w:rsid w:val="6BB214A4"/>
    <w:rsid w:val="6BCC4D17"/>
    <w:rsid w:val="6BFF6191"/>
    <w:rsid w:val="6C0214D0"/>
    <w:rsid w:val="6C09542E"/>
    <w:rsid w:val="6D052D07"/>
    <w:rsid w:val="6D0D5683"/>
    <w:rsid w:val="6D2B3B37"/>
    <w:rsid w:val="6D2F396C"/>
    <w:rsid w:val="6D701461"/>
    <w:rsid w:val="6D8F7B84"/>
    <w:rsid w:val="6DCA7B49"/>
    <w:rsid w:val="6E0F3075"/>
    <w:rsid w:val="6E392CC0"/>
    <w:rsid w:val="6EDF3618"/>
    <w:rsid w:val="6F4E4986"/>
    <w:rsid w:val="6F5647C2"/>
    <w:rsid w:val="6F60260C"/>
    <w:rsid w:val="6FE50312"/>
    <w:rsid w:val="70772893"/>
    <w:rsid w:val="708A25AE"/>
    <w:rsid w:val="708C4C06"/>
    <w:rsid w:val="715C49FF"/>
    <w:rsid w:val="71741D28"/>
    <w:rsid w:val="71E206CB"/>
    <w:rsid w:val="71F60836"/>
    <w:rsid w:val="72747A14"/>
    <w:rsid w:val="72856DFF"/>
    <w:rsid w:val="72912466"/>
    <w:rsid w:val="72A97B9B"/>
    <w:rsid w:val="73C600AE"/>
    <w:rsid w:val="73DE7141"/>
    <w:rsid w:val="73DF2C0D"/>
    <w:rsid w:val="73EC68B0"/>
    <w:rsid w:val="74227178"/>
    <w:rsid w:val="745A1C07"/>
    <w:rsid w:val="746D0F8A"/>
    <w:rsid w:val="74881D80"/>
    <w:rsid w:val="7508325C"/>
    <w:rsid w:val="75124476"/>
    <w:rsid w:val="752E62F2"/>
    <w:rsid w:val="75534EBB"/>
    <w:rsid w:val="75593138"/>
    <w:rsid w:val="75E87E00"/>
    <w:rsid w:val="76AF0A1B"/>
    <w:rsid w:val="77E654DC"/>
    <w:rsid w:val="77F34911"/>
    <w:rsid w:val="789C3462"/>
    <w:rsid w:val="78B63BD8"/>
    <w:rsid w:val="78E41BC5"/>
    <w:rsid w:val="7954114E"/>
    <w:rsid w:val="79A0309A"/>
    <w:rsid w:val="79A36C5C"/>
    <w:rsid w:val="7A43209D"/>
    <w:rsid w:val="7A5B640B"/>
    <w:rsid w:val="7A767F6B"/>
    <w:rsid w:val="7A7E3294"/>
    <w:rsid w:val="7ABE0A56"/>
    <w:rsid w:val="7B1522E1"/>
    <w:rsid w:val="7B2F4264"/>
    <w:rsid w:val="7B7A1222"/>
    <w:rsid w:val="7B9971E8"/>
    <w:rsid w:val="7BE85BD0"/>
    <w:rsid w:val="7BEE4BE4"/>
    <w:rsid w:val="7C295A94"/>
    <w:rsid w:val="7D2D4D68"/>
    <w:rsid w:val="7D536E1C"/>
    <w:rsid w:val="7D9F3060"/>
    <w:rsid w:val="7DD655CC"/>
    <w:rsid w:val="7DF86C08"/>
    <w:rsid w:val="7E0A3047"/>
    <w:rsid w:val="7E1F33A4"/>
    <w:rsid w:val="7E8126EF"/>
    <w:rsid w:val="7EAD0714"/>
    <w:rsid w:val="7EFB2FDA"/>
    <w:rsid w:val="7F4B3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8614</Words>
  <Characters>9180</Characters>
  <Lines>72</Lines>
  <Paragraphs>20</Paragraphs>
  <TotalTime>1</TotalTime>
  <ScaleCrop>false</ScaleCrop>
  <LinksUpToDate>false</LinksUpToDate>
  <CharactersWithSpaces>9373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2022-05-27T11:16:02Z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437E3CF9487141E0B6C42E1FE55D6BD8</vt:lpwstr>
  </property>
</Properties>
</file>